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68"/>
        <w:ind w:firstLine="567"/>
        <w:jc w:val="center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center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Государственное автономное профессиональное образовательное учреждение «Оренбургский государственный колледж»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97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8"/>
        <w:gridCol w:w="4929"/>
      </w:tblGrid>
      <w:tr>
        <w:tblPrEx/>
        <w:trPr/>
        <w:tc>
          <w:tcPr>
            <w:tcW w:w="4928" w:type="dxa"/>
            <w:textDirection w:val="lrTb"/>
            <w:noWrap w:val="false"/>
          </w:tcPr>
          <w:p>
            <w:pPr>
              <w:pStyle w:val="968"/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929" w:type="dxa"/>
            <w:textDirection w:val="lrTb"/>
            <w:noWrap w:val="false"/>
          </w:tcPr>
          <w:p>
            <w:pPr>
              <w:pStyle w:val="968"/>
              <w:ind w:firstLine="2018"/>
              <w:jc w:val="both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968"/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68"/>
        <w:ind w:firstLine="567"/>
        <w:jc w:val="both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68"/>
        <w:ind w:firstLine="567"/>
        <w:jc w:val="both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68"/>
        <w:ind w:firstLine="567"/>
        <w:jc w:val="both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68"/>
        <w:ind w:firstLine="567"/>
        <w:jc w:val="center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68"/>
        <w:ind w:firstLine="567"/>
        <w:jc w:val="center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ПРОГРАММА</w:t>
      </w:r>
      <w:r>
        <w:rPr>
          <w:rFonts w:ascii="Times New Roman" w:hAnsi="Times New Roman" w:cs="Times New Roman"/>
          <w:b/>
        </w:rPr>
      </w:r>
    </w:p>
    <w:p>
      <w:pPr>
        <w:pStyle w:val="968"/>
        <w:ind w:firstLine="567"/>
        <w:jc w:val="center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Style w:val="968"/>
        <w:ind w:firstLine="567"/>
        <w:jc w:val="center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программе подготовки специалистов среднего звена</w:t>
      </w:r>
      <w:r>
        <w:rPr>
          <w:rFonts w:ascii="Times New Roman" w:hAnsi="Times New Roman" w:cs="Times New Roman"/>
          <w:b/>
        </w:rPr>
      </w:r>
    </w:p>
    <w:p>
      <w:pPr>
        <w:jc w:val="center"/>
        <w:spacing w:line="276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</w:rPr>
        <w:t xml:space="preserve">18.02.09 Переработка нефти и газа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 xml:space="preserve"> (базовая подготовка)</w:t>
      </w:r>
      <w:r>
        <w:rPr>
          <w:rFonts w:ascii="Times New Roman" w:hAnsi="Times New Roman" w:cs="Times New Roman"/>
          <w:b/>
          <w:color w:val="auto"/>
        </w:rPr>
      </w:r>
    </w:p>
    <w:p>
      <w:pPr>
        <w:ind w:firstLine="567"/>
        <w:jc w:val="center"/>
        <w:spacing w:line="276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</w:r>
      <w:r>
        <w:rPr>
          <w:rFonts w:ascii="Times New Roman" w:hAnsi="Times New Roman" w:cs="Times New Roman"/>
          <w:b/>
          <w:color w:val="auto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pStyle w:val="968"/>
        <w:ind w:firstLine="5670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pStyle w:val="968"/>
        <w:ind w:firstLine="5670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pStyle w:val="968"/>
        <w:ind w:firstLine="5670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pStyle w:val="968"/>
        <w:ind w:firstLine="5670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8"/>
        <w:ind w:firstLine="5670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8"/>
        <w:ind w:firstLine="5670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both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both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both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both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both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both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both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both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both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both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both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both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both"/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both"/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both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68"/>
        <w:numPr>
          <w:ilvl w:val="0"/>
          <w:numId w:val="20"/>
        </w:numPr>
        <w:ind w:left="0" w:firstLine="0"/>
        <w:jc w:val="center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Общие положения</w:t>
      </w:r>
      <w:r>
        <w:rPr>
          <w:rFonts w:ascii="Times New Roman" w:hAnsi="Times New Roman" w:cs="Times New Roman"/>
          <w:b/>
        </w:rPr>
      </w:r>
    </w:p>
    <w:p>
      <w:pPr>
        <w:pStyle w:val="968"/>
        <w:ind w:left="927"/>
        <w:jc w:val="both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  <w:highlight w:val="red"/>
        </w:rPr>
      </w:pPr>
      <w:r>
        <w:rPr>
          <w:rFonts w:ascii="Times New Roman" w:hAnsi="Times New Roman" w:cs="Times New Roman"/>
        </w:rPr>
        <w:t xml:space="preserve">Программа государственной итоговой аттестации является частью основной профессиональной образовательной программы среднего профессионального образования по специальности </w:t>
      </w:r>
      <w:r>
        <w:rPr>
          <w:rFonts w:ascii="Times New Roman" w:hAnsi="Times New Roman" w:cs="Times New Roman"/>
          <w:b/>
        </w:rPr>
        <w:t xml:space="preserve">18.02.09 Переработка нефти и газа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базовой подготовки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  <w:highlight w:val="red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Государственная итоговая аттестация проводится в целях определения: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соответствия результатов освоения выпускниками основной профессиональной образовательной программы </w:t>
      </w:r>
      <w:r>
        <w:rPr>
          <w:rFonts w:ascii="Times New Roman" w:hAnsi="Times New Roman" w:cs="Times New Roman"/>
          <w:color w:val="auto"/>
        </w:rPr>
        <w:t xml:space="preserve">по специальности </w:t>
      </w:r>
      <w:r>
        <w:rPr>
          <w:rFonts w:ascii="Times New Roman" w:hAnsi="Times New Roman" w:cs="Times New Roman"/>
          <w:b/>
        </w:rPr>
        <w:t xml:space="preserve">18.02.09 Переработка нефти и газа</w:t>
      </w:r>
      <w:r>
        <w:rPr>
          <w:rFonts w:ascii="Times New Roman" w:hAnsi="Times New Roman" w:cs="Times New Roman"/>
        </w:rPr>
        <w:t xml:space="preserve">, утвержденного п</w:t>
      </w:r>
      <w:r>
        <w:rPr>
          <w:rFonts w:ascii="Times New Roman" w:hAnsi="Times New Roman" w:cs="Times New Roman"/>
          <w:bCs/>
        </w:rPr>
        <w:t xml:space="preserve">риказом Минобрнауки России от 17.11.2020 № 646 (зарегистрировано в Минюсте России 14.12.2020, регистрационный № 61451).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готовности выпускника к следующим видам деятельности и сформированности у выпускника соответствующих профессиональных и общих компетенций (ОК </w:t>
      </w:r>
      <w:bookmarkStart w:id="0" w:name="_GoBack"/>
      <w:r/>
      <w:bookmarkEnd w:id="0"/>
      <w:r>
        <w:rPr>
          <w:rFonts w:ascii="Times New Roman" w:hAnsi="Times New Roman" w:cs="Times New Roman"/>
        </w:rPr>
        <w:t xml:space="preserve">и ПК):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01. Выбирать способы решения задач профессиональной деятельности применительно к различным контекстам.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02. Осуществлять поиск, анализ и интерпретацию информации, необходимой для выполнения задач профессиональной деятельности.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03. Планировать и реализовывать собственное профессиональное и личностное развитие.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04. Работать в коллективе и команде, эффективно взаимодействовать с коллегами, руководством, клиентами.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07. Содействовать сохранению окружающей среды, ресурсосбережению, эффективно действовать в чрезвычайных ситуациях.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09. Использовать информационные технологии в профессиональной деятельности.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10. Пользоваться профессиональной документацией на государственном и иностранном языках.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11. Использовать знания по финансовой грамотности, планировать предпринимательскую деятельность в профессиональной сфере.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Профессиональные компетенции:</w:t>
      </w:r>
      <w:r>
        <w:rPr>
          <w:rFonts w:ascii="Times New Roman" w:hAnsi="Times New Roman" w:cs="Times New Roman"/>
          <w:b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 Эксплуатация технологического оборудования и коммуникаций:</w:t>
      </w:r>
      <w:r>
        <w:rPr>
          <w:rFonts w:ascii="Times New Roman" w:hAnsi="Times New Roman" w:cs="Times New Roman"/>
          <w:b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1.1. Контролировать эффективность работы оборудования 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1.2. Обеспечивать безопасную эксплуатацию оборудования и коммуникаций при ведении технологического процесса.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1.3. Подготавливать оборудование к проведению ремонтных работ различного характера.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Ведение технологического процесса на установках I и II категорий:</w:t>
      </w:r>
      <w:r>
        <w:rPr>
          <w:rFonts w:ascii="Times New Roman" w:hAnsi="Times New Roman" w:cs="Times New Roman"/>
          <w:b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2.1. Контролировать и регулировать технологический режим с использованием средств автоматизации и результатов анализов.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2.2. Контролировать качество сырья, получаемых продуктов.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2.3. Контролировать расход сырья, продукции, реагентов, катализаторов, топливно-</w:t>
      </w:r>
      <w:r>
        <w:rPr>
          <w:rFonts w:ascii="Times New Roman" w:hAnsi="Times New Roman" w:cs="Times New Roman"/>
        </w:rPr>
        <w:t xml:space="preserve">энергетических ресурсов.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 Оценка качества выпускаемых компонентов и товарной продукции объектов переработки нефти и газа:</w:t>
      </w:r>
      <w:r>
        <w:rPr>
          <w:rFonts w:ascii="Times New Roman" w:hAnsi="Times New Roman" w:cs="Times New Roman"/>
          <w:b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3.1. Определять показатели качества выпускаемой продукции.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3.2. Оценивать качество выпускаемых компонентов и товарной продукции.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3.3. Анализировать причины брака и выпуска некондиционной продукции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Предупреждение и устранение возникающих производственных инцидентов:</w:t>
      </w:r>
      <w:r>
        <w:rPr>
          <w:rFonts w:ascii="Times New Roman" w:hAnsi="Times New Roman" w:cs="Times New Roman"/>
          <w:b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4.1. Анализировать причины отказа, повреждения технических устройств и принимать меры по их устранению.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4.2. Анализировать причины отклонения от режима технологического процесса и принимать меры по их устранению.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4.3. Разрабатывать меры по предупреждению инцидентов на технологическом блоке.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tabs>
          <w:tab w:val="left" w:pos="1134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  <w:b/>
        </w:rPr>
        <w:t xml:space="preserve">Планирование и организация работы коллектива подразделения</w:t>
      </w:r>
      <w:r>
        <w:rPr>
          <w:rFonts w:ascii="Times New Roman" w:hAnsi="Times New Roman" w:cs="Times New Roman"/>
          <w:b/>
        </w:rPr>
      </w:r>
    </w:p>
    <w:p>
      <w:pPr>
        <w:ind w:firstLine="567"/>
        <w:jc w:val="both"/>
        <w:spacing w:line="276" w:lineRule="auto"/>
        <w:tabs>
          <w:tab w:val="left" w:pos="113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5.1. Организовывать работу коллектива и поддерживать профессиональные отношения со смежными подразделениями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tabs>
          <w:tab w:val="left" w:pos="113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5.2. Обеспечивать выполнение производственного задания по объему производства и качеству продукта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tabs>
          <w:tab w:val="left" w:pos="113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5.3. Обеспечивать соблюдение правил охраны труда, промышленной, пожарной и экологической безопасности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tabs>
          <w:tab w:val="left" w:pos="113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ПК 5.4. Составлять и оформлять технологическую документацию.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tabs>
          <w:tab w:val="left" w:pos="1134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6. Выполнение работ по профессии Оператор технологических установок</w:t>
      </w:r>
      <w:r>
        <w:rPr>
          <w:rFonts w:ascii="Times New Roman" w:hAnsi="Times New Roman" w:cs="Times New Roman"/>
          <w:b/>
        </w:rPr>
      </w:r>
    </w:p>
    <w:p>
      <w:pPr>
        <w:ind w:firstLine="567"/>
        <w:jc w:val="both"/>
        <w:spacing w:line="276" w:lineRule="auto"/>
        <w:tabs>
          <w:tab w:val="left" w:pos="1134" w:leader="none"/>
        </w:tabs>
        <w:rPr>
          <w:rFonts w:ascii="Times New Roman" w:hAnsi="Times New Roman" w:cs="Times New Roman"/>
          <w:iCs/>
          <w:color w:val="333333"/>
        </w:rPr>
      </w:pPr>
      <w:r>
        <w:rPr>
          <w:rFonts w:ascii="Times New Roman" w:hAnsi="Times New Roman" w:cs="Times New Roman"/>
        </w:rPr>
        <w:t xml:space="preserve">ПК.6.1 </w:t>
      </w:r>
      <w:r>
        <w:rPr>
          <w:rFonts w:ascii="Times New Roman" w:hAnsi="Times New Roman" w:cs="Times New Roman"/>
          <w:iCs/>
          <w:color w:val="333333"/>
        </w:rPr>
        <w:t xml:space="preserve">Проверка технического состояния оборудования на технологических установках по переработке газа и газового конденсата</w:t>
      </w:r>
      <w:r>
        <w:rPr>
          <w:rFonts w:ascii="Times New Roman" w:hAnsi="Times New Roman" w:cs="Times New Roman"/>
          <w:iCs/>
          <w:color w:val="333333"/>
        </w:rPr>
      </w:r>
    </w:p>
    <w:p>
      <w:pPr>
        <w:ind w:firstLine="567"/>
        <w:jc w:val="both"/>
        <w:spacing w:line="276" w:lineRule="auto"/>
        <w:tabs>
          <w:tab w:val="left" w:pos="1134" w:leader="none"/>
        </w:tabs>
        <w:rPr>
          <w:rFonts w:ascii="Times New Roman" w:hAnsi="Times New Roman" w:cs="Times New Roman"/>
          <w:iCs/>
          <w:color w:val="333333"/>
        </w:rPr>
      </w:pPr>
      <w:r>
        <w:rPr>
          <w:rFonts w:ascii="Times New Roman" w:hAnsi="Times New Roman" w:cs="Times New Roman"/>
        </w:rPr>
        <w:t xml:space="preserve">ПК.6.2 </w:t>
      </w:r>
      <w:r>
        <w:rPr>
          <w:rFonts w:ascii="Times New Roman" w:hAnsi="Times New Roman" w:cs="Times New Roman"/>
          <w:iCs/>
          <w:color w:val="333333"/>
        </w:rPr>
        <w:t xml:space="preserve">Обслуживание оборудования на технологических установках по переработке газа и газового конденсата</w:t>
      </w:r>
      <w:r>
        <w:rPr>
          <w:rFonts w:ascii="Times New Roman" w:hAnsi="Times New Roman" w:cs="Times New Roman"/>
          <w:iCs/>
          <w:color w:val="333333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  <w:iCs/>
          <w:color w:val="333333"/>
        </w:rPr>
      </w:pPr>
      <w:r>
        <w:rPr>
          <w:rFonts w:ascii="Times New Roman" w:hAnsi="Times New Roman" w:cs="Times New Roman"/>
          <w:iCs/>
          <w:color w:val="333333"/>
        </w:rPr>
        <w:t xml:space="preserve">ПК.6.3 Выполнение вспомогательных работ по ведению технологического процесса на технологических установках по переработке газа и газового конденсата</w:t>
      </w:r>
      <w:r>
        <w:rPr>
          <w:rFonts w:ascii="Times New Roman" w:hAnsi="Times New Roman" w:cs="Times New Roman"/>
          <w:iCs/>
          <w:color w:val="333333"/>
        </w:rPr>
      </w:r>
    </w:p>
    <w:p>
      <w:pPr>
        <w:ind w:firstLine="567"/>
        <w:jc w:val="both"/>
        <w:spacing w:line="276" w:lineRule="auto"/>
        <w:tabs>
          <w:tab w:val="left" w:pos="1134" w:leader="none"/>
        </w:tabs>
        <w:rPr>
          <w:rFonts w:ascii="Times New Roman" w:hAnsi="Times New Roman" w:cs="Times New Roman"/>
          <w:iCs/>
          <w:color w:val="333333"/>
        </w:rPr>
      </w:pPr>
      <w:r>
        <w:rPr>
          <w:rFonts w:ascii="Times New Roman" w:hAnsi="Times New Roman" w:cs="Times New Roman"/>
          <w:iCs/>
          <w:color w:val="333333"/>
        </w:rPr>
        <w:t xml:space="preserve">ПК.6.4 Подготовка к выводу в ремонт и вводу в эксплуатацию после ремонта технологических установок по переработке газа и газового конденсата</w:t>
      </w:r>
      <w:r>
        <w:rPr>
          <w:rFonts w:ascii="Times New Roman" w:hAnsi="Times New Roman" w:cs="Times New Roman"/>
          <w:iCs/>
          <w:color w:val="333333"/>
        </w:rPr>
      </w:r>
    </w:p>
    <w:p>
      <w:pPr>
        <w:ind w:firstLine="567"/>
        <w:jc w:val="both"/>
        <w:spacing w:line="276" w:lineRule="auto"/>
        <w:tabs>
          <w:tab w:val="left" w:pos="113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государственной итоговой аттестации разработана в соответствии с: 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widowControl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Федеральный закон от 29 декабря </w:t>
      </w:r>
      <w:r>
        <w:rPr>
          <w:rFonts w:ascii="Times New Roman" w:hAnsi="Times New Roman" w:cs="Times New Roman"/>
        </w:rPr>
        <w:t xml:space="preserve">2012 г</w:t>
      </w:r>
      <w:r>
        <w:rPr>
          <w:rFonts w:ascii="Times New Roman" w:hAnsi="Times New Roman" w:cs="Times New Roman"/>
        </w:rPr>
        <w:t xml:space="preserve">. № 273-ФЗ «Об образовании в Российской Федерации» с изменениями от 25.04.2026 года; 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widowControl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  <w:iCs/>
        </w:rPr>
      </w:pPr>
      <w:r/>
      <w:bookmarkStart w:id="1" w:name="h113"/>
      <w:r/>
      <w:bookmarkEnd w:id="1"/>
      <w:r>
        <w:rPr>
          <w:rFonts w:ascii="Times New Roman" w:hAnsi="Times New Roman" w:cs="Times New Roman"/>
          <w:iCs/>
        </w:rPr>
        <w:t xml:space="preserve">- Приказ Министерства просвещения РФ от 24 августа 2022 г. N 762</w:t>
      </w:r>
      <w:bookmarkStart w:id="2" w:name="l2"/>
      <w:r/>
      <w:bookmarkEnd w:id="2"/>
      <w:r>
        <w:rPr>
          <w:rFonts w:ascii="Times New Roman" w:hAnsi="Times New Roman" w:cs="Times New Roman"/>
          <w:iCs/>
        </w:rPr>
        <w:t xml:space="preserve">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с изменениями от 16.04.2026 года.</w:t>
      </w:r>
      <w:r>
        <w:rPr>
          <w:rFonts w:ascii="Times New Roman" w:hAnsi="Times New Roman" w:cs="Times New Roman"/>
          <w:iCs/>
        </w:rPr>
      </w:r>
    </w:p>
    <w:p>
      <w:pPr>
        <w:ind w:firstLine="567"/>
        <w:jc w:val="both"/>
        <w:widowControl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Приказ Министерства просвещения РФ от 8 ноября 2021г. №800 «Об утверждении Порядка проведения государственной итоговой аттестации по образовательным программам среднего профессионального обра</w:t>
      </w:r>
      <w:r>
        <w:rPr>
          <w:rFonts w:ascii="Times New Roman" w:hAnsi="Times New Roman" w:cs="Times New Roman"/>
        </w:rPr>
        <w:t xml:space="preserve">зования», </w:t>
      </w:r>
      <w:r>
        <w:rPr>
          <w:rFonts w:ascii="Times New Roman" w:hAnsi="Times New Roman" w:cs="Times New Roman"/>
        </w:rPr>
        <w:t xml:space="preserve">с изменениями от 22.05.2026 года.</w:t>
      </w:r>
      <w:r>
        <w:rPr>
          <w:rFonts w:ascii="Times New Roman" w:hAnsi="Times New Roman" w:cs="Times New Roman"/>
        </w:rPr>
      </w:r>
    </w:p>
    <w:p>
      <w:pPr>
        <w:pStyle w:val="975"/>
        <w:ind w:left="0" w:firstLine="567"/>
        <w:jc w:val="both"/>
        <w:spacing w:line="276" w:lineRule="auto"/>
        <w:tabs>
          <w:tab w:val="left" w:pos="1134" w:leader="none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color w:val="auto"/>
        </w:rPr>
        <w:t xml:space="preserve">-</w:t>
      </w:r>
      <w:r>
        <w:rPr>
          <w:rFonts w:ascii="Times New Roman" w:hAnsi="Times New Roman" w:cs="Times New Roman"/>
          <w:color w:val="auto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>
        <w:rPr>
          <w:rFonts w:ascii="Times New Roman" w:hAnsi="Times New Roman" w:cs="Times New Roman"/>
        </w:rPr>
        <w:t xml:space="preserve">18.02.09 Переработка нефти и газа, утвержденного п</w:t>
      </w:r>
      <w:r>
        <w:rPr>
          <w:rFonts w:ascii="Times New Roman" w:hAnsi="Times New Roman" w:cs="Times New Roman"/>
          <w:bCs/>
        </w:rPr>
        <w:t xml:space="preserve">риказом </w:t>
      </w:r>
      <w:r>
        <w:rPr>
          <w:rFonts w:ascii="Times New Roman" w:hAnsi="Times New Roman" w:cs="Times New Roman"/>
          <w:bCs/>
          <w:color w:val="auto"/>
        </w:rPr>
        <w:t xml:space="preserve">Минобрнауки России от 17.11.2020 № 646 </w:t>
      </w:r>
      <w:r>
        <w:rPr>
          <w:rFonts w:ascii="Times New Roman" w:hAnsi="Times New Roman" w:eastAsia="Arial" w:cs="Times New Roman"/>
          <w:color w:val="auto"/>
          <w:highlight w:val="white"/>
        </w:rPr>
        <w:t xml:space="preserve">ред. от 03.07.2024)</w:t>
      </w:r>
      <w:r>
        <w:rPr>
          <w:rFonts w:ascii="Times New Roman" w:hAnsi="Times New Roman" w:cs="Times New Roman"/>
          <w:bCs/>
          <w:color w:val="ff0000"/>
        </w:rPr>
        <w:t xml:space="preserve"> </w:t>
      </w:r>
      <w:r>
        <w:rPr>
          <w:rFonts w:ascii="Arial" w:hAnsi="Arial" w:eastAsia="Arial" w:cs="Arial"/>
          <w:b/>
          <w:color w:val="333333"/>
          <w:highlight w:val="white"/>
        </w:rPr>
        <w:t xml:space="preserve">(</w:t>
      </w:r>
      <w:r>
        <w:rPr>
          <w:rFonts w:ascii="Times New Roman" w:hAnsi="Times New Roman" w:cs="Times New Roman"/>
          <w:bCs/>
        </w:rPr>
        <w:t xml:space="preserve">(зарегистрировано в Минюсте России 14.12</w:t>
      </w:r>
      <w:r>
        <w:rPr>
          <w:rFonts w:ascii="Times New Roman" w:hAnsi="Times New Roman" w:cs="Times New Roman"/>
          <w:bCs/>
        </w:rPr>
        <w:t xml:space="preserve">.2020, регистрационный № 61451);</w:t>
      </w:r>
      <w:r>
        <w:rPr>
          <w:rFonts w:ascii="Times New Roman" w:hAnsi="Times New Roman" w:cs="Times New Roman"/>
          <w:bCs/>
        </w:rPr>
      </w:r>
    </w:p>
    <w:p>
      <w:pPr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cs="Times New Roman"/>
          <w:bCs/>
        </w:rPr>
        <w:t xml:space="preserve">-</w:t>
      </w:r>
      <w:r>
        <w:rPr>
          <w:rFonts w:ascii="Times New Roman" w:hAnsi="Times New Roman" w:eastAsia="Calibri" w:cs="Times New Roman"/>
        </w:rPr>
        <w:t xml:space="preserve">Приказ ФГБОУ  ДПО ИРПО от 22.07. 2023 № П-291 «Об утверждении методики проведения демонстрационного экзамена»;</w:t>
      </w:r>
      <w:r>
        <w:rPr>
          <w:rFonts w:ascii="Times New Roman" w:hAnsi="Times New Roman" w:eastAsia="Calibri" w:cs="Times New Roman"/>
        </w:rPr>
      </w:r>
    </w:p>
    <w:p>
      <w:pPr>
        <w:ind w:firstLine="567"/>
        <w:jc w:val="both"/>
        <w:spacing w:line="276" w:lineRule="auto"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</w:t>
      </w:r>
      <w:r>
        <w:rPr>
          <w:rFonts w:ascii="Times New Roman" w:hAnsi="Times New Roman" w:cs="Times New Roman"/>
          <w:bCs/>
          <w:color w:val="auto"/>
        </w:rPr>
        <w:t xml:space="preserve">нормативные локальные акты ГАПОУ «Оренбургский государственный колледж».</w:t>
      </w:r>
      <w:r>
        <w:rPr>
          <w:rFonts w:ascii="Times New Roman" w:hAnsi="Times New Roman" w:cs="Times New Roman"/>
          <w:bCs/>
          <w:color w:val="auto"/>
        </w:rPr>
      </w:r>
    </w:p>
    <w:p>
      <w:pPr>
        <w:pStyle w:val="968"/>
        <w:ind w:firstLine="567"/>
        <w:jc w:val="both"/>
        <w:spacing w:line="276" w:lineRule="auto"/>
        <w:tabs>
          <w:tab w:val="left" w:pos="113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 К государственной итоговой аттестации допускаю</w:t>
      </w:r>
      <w:r>
        <w:rPr>
          <w:rFonts w:ascii="Times New Roman" w:hAnsi="Times New Roman" w:cs="Times New Roman"/>
        </w:rPr>
        <w:t xml:space="preserve">тся выпускники, не имеющие академической задолженности и в полном объеме выполнившие учебный план или индивидуальный учебный план по осваиваемой образовательной программе среднего </w:t>
      </w:r>
      <w:r>
        <w:rPr>
          <w:rFonts w:ascii="Times New Roman" w:hAnsi="Times New Roman" w:cs="Times New Roman"/>
        </w:rPr>
        <w:t xml:space="preserve">профессионального образования.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spacing w:line="276" w:lineRule="auto"/>
        <w:tabs>
          <w:tab w:val="left" w:pos="113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spacing w:line="276" w:lineRule="auto"/>
        <w:tabs>
          <w:tab w:val="left" w:pos="113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8"/>
        <w:numPr>
          <w:ilvl w:val="0"/>
          <w:numId w:val="20"/>
        </w:numPr>
        <w:jc w:val="center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Форма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Style w:val="968"/>
        <w:ind w:left="927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68"/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Государственная итоговая аттестация проводится в форме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spacing w:line="276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Демонстрационный экзамен направлен на определение уровня освоения выпускником материала, предусмот</w:t>
      </w:r>
      <w:r>
        <w:rPr>
          <w:rFonts w:ascii="Times New Roman" w:hAnsi="Times New Roman" w:cs="Times New Roman"/>
          <w:shd w:val="clear" w:color="auto" w:fill="ffffff"/>
        </w:rPr>
        <w:t xml:space="preserve">ренного образовательной программой,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процессов.</w:t>
      </w:r>
      <w:r>
        <w:rPr>
          <w:rFonts w:ascii="Times New Roman" w:hAnsi="Times New Roman" w:cs="Times New Roman"/>
          <w:shd w:val="clear" w:color="auto" w:fill="ffffff"/>
        </w:rPr>
      </w:r>
    </w:p>
    <w:p>
      <w:pPr>
        <w:pStyle w:val="981"/>
        <w:ind w:firstLine="567"/>
        <w:jc w:val="both"/>
        <w:spacing w:before="0" w:beforeAutospacing="0" w:after="0" w:afterAutospacing="0" w:line="276" w:lineRule="auto"/>
        <w:shd w:val="clear" w:color="auto" w:fill="ffffff"/>
        <w:rPr>
          <w:color w:val="ff0000"/>
        </w:rPr>
      </w:pPr>
      <w:r>
        <w:rPr>
          <w:color w:val="000000"/>
        </w:rPr>
        <w:t xml:space="preserve">Демонстрационный экзамен базового уровня проводится на основе требований к результатам освоения образовательных программ среднего профессионального образования, установленных ФГОС СПО.</w:t>
      </w:r>
      <w:r>
        <w:tab/>
      </w:r>
      <w:r>
        <w:rPr>
          <w:color w:val="ff0000"/>
        </w:rPr>
      </w:r>
    </w:p>
    <w:p>
      <w:pPr>
        <w:pStyle w:val="968"/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 xml:space="preserve">Демонстрационный экзамен проводится </w:t>
      </w:r>
      <w:r>
        <w:rPr>
          <w:rFonts w:ascii="Times New Roman" w:hAnsi="Times New Roman" w:cs="Times New Roman"/>
        </w:rPr>
        <w:t xml:space="preserve">по материалам КИМ, представляющим комплекс требований для проведения демонстрационного экзамена, перечень оборудования и оснащения, расходных материалов, сре</w:t>
      </w:r>
      <w:r>
        <w:rPr>
          <w:rFonts w:ascii="Times New Roman" w:hAnsi="Times New Roman" w:cs="Times New Roman"/>
        </w:rPr>
        <w:t xml:space="preserve">дств обучения и воспитания, примерный план застройки площадки демонстрационного экзамена, требования к составу экспертных групп, условия привлечения добровольцев (волонтеров) (при необходимости), инструкции по технике безопасности, а также образцы заданий.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Задание демонстрационного экзамена включает комплексную практическую задачу, моделирующую профессиональную деятельность и выполняемую в режиме реального времени.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center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Объем времени на подготовку и проведение</w:t>
      </w:r>
      <w:r>
        <w:rPr>
          <w:rFonts w:ascii="Times New Roman" w:hAnsi="Times New Roman" w:cs="Times New Roman"/>
          <w:b/>
        </w:rPr>
      </w:r>
    </w:p>
    <w:p>
      <w:pPr>
        <w:ind w:firstLine="709"/>
        <w:jc w:val="center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государственной итоговой аттестации, сроки проведения</w:t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Федеральным государственным образовательным стандартом по специальности среднего профессионального образования 18.02.09 Переработка нефти и газа, утвержденного п</w:t>
      </w:r>
      <w:r>
        <w:rPr>
          <w:rFonts w:ascii="Times New Roman" w:hAnsi="Times New Roman" w:cs="Times New Roman"/>
          <w:bCs/>
        </w:rPr>
        <w:t xml:space="preserve">риказом </w:t>
      </w:r>
      <w:r>
        <w:rPr>
          <w:rFonts w:ascii="Times New Roman" w:hAnsi="Times New Roman" w:cs="Times New Roman"/>
          <w:bCs/>
          <w:color w:val="auto"/>
        </w:rPr>
        <w:t xml:space="preserve">Минобрнауки России</w:t>
      </w:r>
      <w:r>
        <w:rPr>
          <w:rFonts w:ascii="Times New Roman" w:hAnsi="Times New Roman" w:cs="Times New Roman"/>
          <w:bCs/>
        </w:rPr>
        <w:t xml:space="preserve"> от 17.11.2020 № 646</w:t>
      </w:r>
      <w:r>
        <w:rPr>
          <w:rFonts w:ascii="Times New Roman" w:hAnsi="Times New Roman" w:cs="Times New Roman"/>
        </w:rPr>
        <w:t xml:space="preserve">, рабочим учебным планом и календарным учебным графиком отведено на подготовку и проведение государственной итоговой аттестации 6 недель.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Согласно календарного учебного графика на 202</w:t>
      </w:r>
      <w:r>
        <w:rPr>
          <w:rFonts w:ascii="Times New Roman" w:hAnsi="Times New Roman" w:cs="Times New Roman"/>
        </w:rPr>
        <w:t xml:space="preserve">6</w:t>
      </w:r>
      <w:r>
        <w:rPr>
          <w:rFonts w:ascii="Times New Roman" w:hAnsi="Times New Roman" w:cs="Times New Roman"/>
        </w:rPr>
        <w:t xml:space="preserve">5/202</w:t>
      </w:r>
      <w:r>
        <w:rPr>
          <w:rFonts w:ascii="Times New Roman" w:hAnsi="Times New Roman" w:cs="Times New Roman"/>
        </w:rPr>
        <w:t xml:space="preserve">7</w:t>
      </w:r>
      <w:r>
        <w:rPr>
          <w:rFonts w:ascii="Times New Roman" w:hAnsi="Times New Roman" w:cs="Times New Roman"/>
        </w:rPr>
        <w:t xml:space="preserve"> учебный год ГИА пройдет с 18 мая по 28 июня 2026 г. 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Место проведения государственной итоговой аттестации: Ц</w:t>
      </w:r>
      <w:r>
        <w:rPr>
          <w:rFonts w:ascii="Times New Roman" w:hAnsi="Times New Roman" w:cs="Times New Roman"/>
        </w:rPr>
        <w:t xml:space="preserve">ентр проведения демонстрационного экзамена (Ц</w:t>
      </w:r>
      <w:r>
        <w:rPr>
          <w:rFonts w:ascii="Times New Roman" w:hAnsi="Times New Roman" w:cs="Times New Roman"/>
        </w:rPr>
        <w:t xml:space="preserve">ПДЭ</w:t>
      </w:r>
      <w:r>
        <w:rPr>
          <w:rFonts w:ascii="Times New Roman" w:hAnsi="Times New Roman" w:cs="Times New Roman"/>
        </w:rPr>
        <w:t xml:space="preserve">)</w:t>
      </w:r>
      <w:r>
        <w:rPr>
          <w:rFonts w:ascii="Times New Roman" w:hAnsi="Times New Roman" w:cs="Times New Roman"/>
        </w:rPr>
        <w:t xml:space="preserve"> – ГАПОУ «ОГК».</w:t>
      </w:r>
      <w:r>
        <w:rPr>
          <w:rFonts w:ascii="Times New Roman" w:hAnsi="Times New Roman" w:cs="Times New Roman"/>
        </w:rPr>
      </w:r>
    </w:p>
    <w:p>
      <w:pPr>
        <w:pStyle w:val="909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8"/>
        <w:jc w:val="both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68"/>
        <w:jc w:val="center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  Подготовка и проведение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Style w:val="968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8"/>
        <w:jc w:val="center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4.1 Подготовка проведения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</w:t>
      </w:r>
      <w:r>
        <w:rPr>
          <w:rFonts w:ascii="Times New Roman" w:hAnsi="Times New Roman" w:cs="Times New Roman"/>
        </w:rPr>
        <w:t xml:space="preserve">.1 </w:t>
      </w:r>
      <w:r>
        <w:rPr>
          <w:rFonts w:ascii="Times New Roman" w:hAnsi="Times New Roman" w:cs="Times New Roman"/>
        </w:rPr>
        <w:t xml:space="preserve">Для проведения государственной итоговой аттестации в форме демонстрационного экзамена </w:t>
      </w:r>
      <w:r>
        <w:rPr>
          <w:rFonts w:ascii="Times New Roman" w:hAnsi="Times New Roman" w:cs="Times New Roman"/>
        </w:rPr>
        <w:t xml:space="preserve">по профессии 43.01.09 Повар, кондитер </w:t>
      </w:r>
      <w:r>
        <w:rPr>
          <w:rFonts w:ascii="Times New Roman" w:hAnsi="Times New Roman" w:cs="Times New Roman"/>
        </w:rPr>
        <w:t xml:space="preserve">Министерством образования Оренбургской области создается единая ГЭК.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ГЭК формируется из педагогических работников и иных работников образовательных организаций, лиц, приглашенных из сторонних организаций в том числе: педагогических ра</w:t>
      </w:r>
      <w:r>
        <w:rPr>
          <w:rFonts w:ascii="Times New Roman" w:hAnsi="Times New Roman" w:cs="Times New Roman"/>
        </w:rPr>
        <w:t xml:space="preserve">ботников,  представителей работодателей, направление деятельности которых соответствует области профессиональной деятельности, к которой готовятся выпускники. Состав ГЭК утверждается Министерством образования Оренбургской области  не позднее 15 ноября года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2026 года. 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</w:t>
      </w:r>
      <w:r>
        <w:rPr>
          <w:rFonts w:ascii="Times New Roman" w:hAnsi="Times New Roman" w:cs="Times New Roman"/>
        </w:rPr>
        <w:t xml:space="preserve">.2 Экспертную группу возглавляет администратор центра проведения экзамена, который  не входит в состав экспертной группы.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</w:t>
      </w:r>
      <w:r>
        <w:rPr>
          <w:rFonts w:ascii="Times New Roman" w:hAnsi="Times New Roman" w:cs="Times New Roman"/>
        </w:rPr>
        <w:t xml:space="preserve">.3Администратор центра проведения экзамена организует и контролирует деятельность возглавляемой экспертной группы, обеспечивает соблюдение всех требований к проведению демонстрационного экзамена и не участвует в оценивании</w:t>
      </w:r>
      <w:r>
        <w:rPr>
          <w:rFonts w:ascii="Times New Roman" w:hAnsi="Times New Roman" w:cs="Times New Roman"/>
        </w:rPr>
        <w:t xml:space="preserve"> результатов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</w:t>
      </w:r>
      <w:r>
        <w:rPr>
          <w:rFonts w:ascii="Times New Roman" w:hAnsi="Times New Roman" w:cs="Times New Roman"/>
        </w:rPr>
        <w:t xml:space="preserve"> К государственной итоговой а</w:t>
      </w:r>
      <w:r>
        <w:rPr>
          <w:rFonts w:ascii="Times New Roman" w:hAnsi="Times New Roman" w:cs="Times New Roman"/>
        </w:rPr>
        <w:t xml:space="preserve">ттестации допускаются выпускники</w:t>
      </w:r>
      <w:r>
        <w:rPr>
          <w:rFonts w:ascii="Times New Roman" w:hAnsi="Times New Roman" w:cs="Times New Roman"/>
        </w:rPr>
        <w:t xml:space="preserve">, не имеющие академической задолженности и в полном объеме выполнившие учебный план или индивидуальный учебный план.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</w:t>
      </w:r>
      <w:r>
        <w:rPr>
          <w:rFonts w:ascii="Times New Roman" w:hAnsi="Times New Roman" w:cs="Times New Roman"/>
        </w:rPr>
        <w:t xml:space="preserve">5 ГЭК возглавляет председатель, являющийся руководителем или заместителем руководителя м</w:t>
      </w:r>
      <w:r>
        <w:rPr>
          <w:rFonts w:ascii="Times New Roman" w:hAnsi="Times New Roman" w:cs="Times New Roman"/>
          <w:iCs/>
        </w:rPr>
        <w:t xml:space="preserve">инистерства образования Оренбургской области.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 xml:space="preserve">4</w:t>
      </w:r>
      <w:r>
        <w:rPr>
          <w:rFonts w:ascii="Times New Roman" w:hAnsi="Times New Roman" w:cs="Times New Roman"/>
          <w:bCs/>
          <w:iCs/>
        </w:rPr>
        <w:t xml:space="preserve">.6</w:t>
      </w:r>
      <w:r>
        <w:rPr>
          <w:rFonts w:ascii="Times New Roman" w:hAnsi="Times New Roman" w:cs="Times New Roman"/>
        </w:rPr>
        <w:t xml:space="preserve"> Программа государственной итоговой аттестации разрабатывается</w:t>
      </w:r>
      <w:r>
        <w:rPr>
          <w:rFonts w:ascii="Times New Roman" w:hAnsi="Times New Roman" w:cs="Times New Roman"/>
        </w:rPr>
        <w:t xml:space="preserve"> не менее чем за шесть месяцев до государственной итоговой аттестации, рассматривается на педагогическом совете, утверждается директором колледжа, и доводится до сведения обучающихся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Документация, необходимая для проведения государственной итоговой аттестации: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Положение о государственной итоговой аттестации выпускников среднего профессионального образования.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Программа Государственной итоговой аттестации;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- приказ об утверждении председателей государственной экзаменационной комиссии; </w:t>
      </w:r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приказ о создании государственной экзаменационной комиссии; </w:t>
      </w:r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график проведения государственной итоговой аттестации; </w:t>
      </w:r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приказ о допуске к государственной итоговой аттестации;</w:t>
      </w:r>
      <w:r>
        <w:rPr>
          <w:rFonts w:ascii="Times New Roman" w:hAnsi="Times New Roman" w:cs="Times New Roman"/>
          <w:color w:val="auto"/>
        </w:rPr>
      </w:r>
    </w:p>
    <w:p>
      <w:pPr>
        <w:ind w:firstLine="567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- сводная ведомость успеваемости обучающихся; </w:t>
      </w:r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зачетные книжки обучающихся; </w:t>
      </w:r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протоколы заседаний ГЭК;</w:t>
      </w:r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протоколы заседаний апелляционной комиссии.</w:t>
      </w:r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Программа ГИА утверждается на педагогическом совете колледжа с участием председателя ГЭК,</w:t>
      </w:r>
      <w:r>
        <w:rPr>
          <w:rFonts w:ascii="Times New Roman" w:hAnsi="Times New Roman" w:cs="Times New Roman"/>
        </w:rPr>
        <w:t xml:space="preserve"> после чего доводится до сведения выпускников заведующим отделением не позднее, чем за шесть месяцев до начала ГИА.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ГИА допускаются выпускники, не имеющие академической задолженности и в полном объеме выполнившие учебный план или индивидуальный учебный план.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 </w:t>
      </w:r>
      <w:r>
        <w:rPr>
          <w:rStyle w:val="974"/>
          <w:rFonts w:ascii="Times New Roman" w:hAnsi="Times New Roman" w:eastAsia="Courier New" w:cs="Times New Roman"/>
          <w:b w:val="0"/>
          <w:i w:val="0"/>
          <w:color w:val="auto"/>
          <w:spacing w:val="0"/>
          <w:sz w:val="24"/>
          <w:szCs w:val="24"/>
        </w:rPr>
        <w:t xml:space="preserve">Демонстрационный экзамен направлен на определение уровня освоения выпускником материала, предус</w:t>
      </w:r>
      <w:r>
        <w:rPr>
          <w:rStyle w:val="974"/>
          <w:rFonts w:ascii="Times New Roman" w:hAnsi="Times New Roman" w:eastAsia="Courier New" w:cs="Times New Roman"/>
          <w:b w:val="0"/>
          <w:i w:val="0"/>
          <w:color w:val="auto"/>
          <w:spacing w:val="0"/>
          <w:sz w:val="24"/>
          <w:szCs w:val="24"/>
        </w:rPr>
        <w:t xml:space="preserve">мотренного образовательной программой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 смоделированных производственных процессов </w:t>
      </w:r>
      <w:r>
        <w:rPr>
          <w:rFonts w:ascii="Times New Roman" w:hAnsi="Times New Roman" w:cs="Times New Roman"/>
          <w:b/>
        </w:rPr>
        <w:t xml:space="preserve">по специальности 18.02.09 Переработка нефти и </w:t>
      </w:r>
      <w:r>
        <w:rPr>
          <w:rFonts w:ascii="Times New Roman" w:hAnsi="Times New Roman" w:cs="Times New Roman"/>
          <w:color w:val="auto"/>
        </w:rPr>
        <w:t xml:space="preserve">газа</w:t>
      </w:r>
      <w:r>
        <w:rPr>
          <w:rFonts w:ascii="Times New Roman" w:hAnsi="Times New Roman" w:cs="Times New Roman"/>
          <w:color w:val="auto"/>
        </w:rPr>
        <w:t xml:space="preserve">, базовый </w:t>
      </w:r>
      <w:r>
        <w:rPr>
          <w:rFonts w:ascii="Times New Roman" w:hAnsi="Times New Roman" w:cs="Times New Roman"/>
          <w:color w:val="auto"/>
        </w:rPr>
        <w:t xml:space="preserve"> уровень</w:t>
      </w:r>
      <w:r>
        <w:rPr>
          <w:rFonts w:ascii="Times New Roman" w:hAnsi="Times New Roman" w:cs="Times New Roman"/>
          <w:color w:val="auto"/>
        </w:rPr>
        <w:t xml:space="preserve">.</w:t>
      </w:r>
      <w:r>
        <w:rPr>
          <w:rFonts w:ascii="Times New Roman" w:hAnsi="Times New Roman" w:cs="Times New Roman"/>
          <w:color w:val="auto"/>
        </w:rPr>
      </w:r>
    </w:p>
    <w:p>
      <w:pPr>
        <w:pStyle w:val="968"/>
        <w:ind w:firstLine="567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Демонстрационный экзамен проводится с использованием </w:t>
      </w:r>
      <w:r>
        <w:rPr>
          <w:rFonts w:ascii="Times New Roman" w:hAnsi="Times New Roman" w:cs="Times New Roman"/>
        </w:rPr>
        <w:t xml:space="preserve">КИМ, </w:t>
      </w:r>
      <w:r>
        <w:rPr>
          <w:rFonts w:ascii="Times New Roman" w:hAnsi="Times New Roman" w:cs="Times New Roman"/>
          <w:color w:val="auto"/>
        </w:rPr>
        <w:t xml:space="preserve">представляющей комплекс требований для проведения демонстрационного экзамена, перечень оборудования и оснащения, расходных материалов, сре</w:t>
      </w:r>
      <w:r>
        <w:rPr>
          <w:rFonts w:ascii="Times New Roman" w:hAnsi="Times New Roman" w:cs="Times New Roman"/>
          <w:color w:val="auto"/>
        </w:rPr>
        <w:t xml:space="preserve">дств обучения и воспитания, примерный план застройки площадки демонстрационного экзамена, требования к составу экспертных групп, условия привлечения добровольцев (волонтеров) (при необходимости), инструкции по технике безопасности, а также образцы заданий.</w:t>
      </w:r>
      <w:r>
        <w:rPr>
          <w:rFonts w:ascii="Times New Roman" w:hAnsi="Times New Roman" w:cs="Times New Roman"/>
          <w:color w:val="auto"/>
        </w:rPr>
      </w:r>
    </w:p>
    <w:p>
      <w:pPr>
        <w:pStyle w:val="968"/>
        <w:ind w:firstLine="567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Задание демонстрационного экзамена включает комплексную практическую задачу, моделирующую профессиональную деятельность и выполняемую в режиме реального времени.</w:t>
      </w:r>
      <w:r>
        <w:rPr>
          <w:rFonts w:ascii="Times New Roman" w:hAnsi="Times New Roman" w:cs="Times New Roman"/>
          <w:color w:val="auto"/>
        </w:rPr>
      </w:r>
    </w:p>
    <w:p>
      <w:pPr>
        <w:pStyle w:val="968"/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Центр проведения демонстрационного экзамена располагается на территории ГАПОУ «Оренбургский государственный колледж», который оборудован и оснащен в соответствии с комплектом оценочной документации. </w:t>
      </w:r>
      <w:r>
        <w:rPr>
          <w:rFonts w:ascii="Times New Roman" w:hAnsi="Times New Roman" w:cs="Times New Roman"/>
        </w:rPr>
      </w:r>
    </w:p>
    <w:p>
      <w:pPr>
        <w:pStyle w:val="968"/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Выпускники проходят демонстрационный экзамен в центре проведения экзамена в </w:t>
      </w:r>
      <w:r>
        <w:rPr>
          <w:rFonts w:ascii="Times New Roman" w:hAnsi="Times New Roman" w:cs="Times New Roman"/>
          <w:color w:val="auto"/>
        </w:rPr>
        <w:t xml:space="preserve">составе экзаменационных групп. </w:t>
      </w:r>
      <w:r>
        <w:rPr>
          <w:rFonts w:ascii="Times New Roman" w:hAnsi="Times New Roman" w:cs="Times New Roman"/>
          <w:color w:val="auto"/>
        </w:rPr>
      </w:r>
    </w:p>
    <w:p>
      <w:pPr>
        <w:pStyle w:val="968"/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Центр проведения экзамена создает </w:t>
      </w:r>
      <w:r>
        <w:rPr>
          <w:rFonts w:ascii="Times New Roman" w:hAnsi="Times New Roman" w:cs="Times New Roman"/>
        </w:rPr>
        <w:t xml:space="preserve">план проведения демонстрационного экзамена, в котором указывается:</w:t>
      </w:r>
      <w:r>
        <w:rPr>
          <w:rFonts w:ascii="Times New Roman" w:hAnsi="Times New Roman" w:cs="Times New Roman"/>
        </w:rPr>
      </w:r>
    </w:p>
    <w:p>
      <w:pPr>
        <w:pStyle w:val="968"/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место расположения центра проведения экзамена, </w:t>
      </w:r>
      <w:r>
        <w:rPr>
          <w:rFonts w:ascii="Times New Roman" w:hAnsi="Times New Roman" w:cs="Times New Roman"/>
        </w:rPr>
      </w:r>
    </w:p>
    <w:p>
      <w:pPr>
        <w:pStyle w:val="968"/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дата и время начала проведения демонстрационного экзамена, </w:t>
      </w:r>
      <w:r>
        <w:rPr>
          <w:rFonts w:ascii="Times New Roman" w:hAnsi="Times New Roman" w:cs="Times New Roman"/>
        </w:rPr>
      </w:r>
    </w:p>
    <w:p>
      <w:pPr>
        <w:pStyle w:val="968"/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расписание сдачи экзаменов в составе экзаменационных групп, </w:t>
      </w:r>
      <w:r>
        <w:rPr>
          <w:rFonts w:ascii="Times New Roman" w:hAnsi="Times New Roman" w:cs="Times New Roman"/>
        </w:rPr>
      </w:r>
    </w:p>
    <w:p>
      <w:pPr>
        <w:pStyle w:val="968"/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планируемая продолжительность проведения демонстрационного экзамена, </w:t>
      </w:r>
      <w:r>
        <w:rPr>
          <w:rFonts w:ascii="Times New Roman" w:hAnsi="Times New Roman" w:cs="Times New Roman"/>
        </w:rPr>
      </w:r>
    </w:p>
    <w:p>
      <w:pPr>
        <w:pStyle w:val="968"/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технические перерывы в проведении демонстрационного экзамена. </w:t>
      </w:r>
      <w:r>
        <w:rPr>
          <w:rFonts w:ascii="Times New Roman" w:hAnsi="Times New Roman" w:cs="Times New Roman"/>
        </w:rPr>
      </w:r>
    </w:p>
    <w:p>
      <w:pPr>
        <w:pStyle w:val="968"/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План проведения демонстрационного экзамена утверждается ГЭК и не позднее чем за двадцать календарных дней до даты проведения демонстрационного экзамена. </w:t>
      </w:r>
      <w:r>
        <w:rPr>
          <w:rFonts w:ascii="Times New Roman" w:hAnsi="Times New Roman" w:cs="Times New Roman"/>
        </w:rPr>
      </w:r>
    </w:p>
    <w:p>
      <w:pPr>
        <w:pStyle w:val="968"/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Заведующий отделением знакомит с планом проведения демонстрационного экзамена выпускников, сдающих демонстрационный экзамен и лиц, обеспечивающих проведение демонстрационного экзамена в срок не позднее чем за пять рабочих дней до даты проведения экзамена. </w:t>
      </w:r>
      <w:r>
        <w:rPr>
          <w:rFonts w:ascii="Times New Roman" w:hAnsi="Times New Roman" w:cs="Times New Roman"/>
        </w:rPr>
      </w:r>
    </w:p>
    <w:p>
      <w:pPr>
        <w:pStyle w:val="968"/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8"/>
        <w:ind w:firstLine="709"/>
        <w:jc w:val="center"/>
        <w:spacing w:line="276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4.</w:t>
      </w:r>
      <w:r>
        <w:rPr>
          <w:rFonts w:ascii="Times New Roman" w:hAnsi="Times New Roman" w:cs="Times New Roman"/>
          <w:b/>
          <w:color w:val="auto"/>
        </w:rPr>
        <w:t xml:space="preserve">2</w:t>
      </w:r>
      <w:r>
        <w:rPr>
          <w:rFonts w:ascii="Times New Roman" w:hAnsi="Times New Roman" w:cs="Times New Roman"/>
          <w:b/>
          <w:color w:val="auto"/>
        </w:rPr>
        <w:t xml:space="preserve">  Проведение демонстрационного экзамена</w:t>
      </w:r>
      <w:r>
        <w:rPr>
          <w:rFonts w:ascii="Times New Roman" w:hAnsi="Times New Roman" w:cs="Times New Roman"/>
          <w:b/>
          <w:color w:val="auto"/>
        </w:rPr>
      </w:r>
    </w:p>
    <w:p>
      <w:pPr>
        <w:pStyle w:val="968"/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pStyle w:val="968"/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Демонстрационный экзамен проводится с использованием </w:t>
      </w:r>
      <w:r>
        <w:rPr>
          <w:rFonts w:ascii="Times New Roman" w:hAnsi="Times New Roman" w:cs="Times New Roman"/>
        </w:rPr>
        <w:t xml:space="preserve">КИМ.</w:t>
      </w:r>
      <w:r>
        <w:rPr>
          <w:rFonts w:ascii="Times New Roman" w:hAnsi="Times New Roman" w:cs="Times New Roman"/>
          <w:color w:val="auto"/>
        </w:rPr>
        <w:t xml:space="preserve">.</w:t>
      </w:r>
      <w:r>
        <w:rPr>
          <w:rFonts w:ascii="Times New Roman" w:hAnsi="Times New Roman" w:cs="Times New Roman"/>
          <w:color w:val="auto"/>
        </w:rPr>
      </w:r>
    </w:p>
    <w:p>
      <w:pPr>
        <w:pStyle w:val="968"/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Не позднее чем за один рабочий день до даты проведения демонстрационного экзамена </w:t>
      </w:r>
      <w:r>
        <w:rPr>
          <w:rFonts w:ascii="Times New Roman" w:hAnsi="Times New Roman" w:cs="Times New Roman"/>
          <w:color w:val="auto"/>
        </w:rPr>
        <w:t xml:space="preserve">администратором центра проведения экзамена </w:t>
      </w:r>
      <w:r>
        <w:rPr>
          <w:rFonts w:ascii="Times New Roman" w:hAnsi="Times New Roman" w:cs="Times New Roman"/>
          <w:color w:val="auto"/>
        </w:rPr>
        <w:t xml:space="preserve">проводится проверка готовности центра проведения экзамена в присут</w:t>
      </w:r>
      <w:r>
        <w:rPr>
          <w:rFonts w:ascii="Times New Roman" w:hAnsi="Times New Roman" w:cs="Times New Roman"/>
          <w:color w:val="auto"/>
        </w:rPr>
        <w:t xml:space="preserve">ствии членов экспертной группы, выпускников, а также технического эксперта, назначаемого организацией, на территории которой расположен центр проведения экзамена, ответственного за соблюдение установленных норм и правил охраны труда и техники безопасности.</w:t>
      </w:r>
      <w:r>
        <w:rPr>
          <w:rFonts w:ascii="Times New Roman" w:hAnsi="Times New Roman" w:cs="Times New Roman"/>
          <w:color w:val="auto"/>
        </w:rPr>
      </w:r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</w:pPr>
      <w:r>
        <w:t xml:space="preserve">Администратором центра проведения экзамена </w:t>
      </w:r>
      <w:r>
        <w:t xml:space="preserve">осуществляется осмотр центра проведения экзамена, распределение обязанностей между членами экспертной группы по оценке выполнения заданий </w:t>
      </w:r>
      <w:r>
        <w:t xml:space="preserve">демонстрационного экзамена, а также распределение рабочих мест между выпускниками с использованием способа случайной выборки. Результаты распределения обязанностей между членами экспертной группы и распределения рабочих мест между выпускниками фиксируются </w:t>
      </w:r>
      <w:r>
        <w:t xml:space="preserve">администратором центра проведения экзамена </w:t>
      </w:r>
      <w:r>
        <w:t xml:space="preserve">в соответствующих протоколах.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</w:pPr>
      <w:r>
        <w:rPr>
          <w:shd w:val="clear" w:color="auto" w:fill="ffffff"/>
        </w:rPr>
        <w:t xml:space="preserve">Технический эксперт под подпись знакомит главного эксперта, членов экспертной группы, выпускников с требованиями охраны труда и безопасности производства.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</w:pPr>
      <w:r>
        <w:t xml:space="preserve">В день проведения демонстрационного экзамена в центре проведения экзамена присутствуют: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</w:pPr>
      <w:r>
        <w:t xml:space="preserve">а) руководитель (уполномоченный представитель) организации, на базе которой организован центр проведения экзамена;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</w:pPr>
      <w:r>
        <w:t xml:space="preserve">б) не менее одного члена ГЭК, не считая членов экспертной группы;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</w:pPr>
      <w:r>
        <w:t xml:space="preserve">в) члены экспертной группы;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</w:pPr>
      <w:r>
        <w:t xml:space="preserve">г) главный эксперт;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</w:pPr>
      <w:r>
        <w:t xml:space="preserve">д) выпускники;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</w:pPr>
      <w:r>
        <w:t xml:space="preserve">е) технический эксперт;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</w:pPr>
      <w:r>
        <w:t xml:space="preserve">ж) 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экзамена.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</w:pPr>
      <w:r>
        <w:t xml:space="preserve">В случае отсутствия в день проведения демонстрационного экзамена в центре проведения экзамена лиц, указанных в настоящем пункте, решение о проведении </w:t>
      </w:r>
      <w:r>
        <w:t xml:space="preserve">демонстрационного экзамена принимается главным экспертом, о чём </w:t>
      </w:r>
      <w:r>
        <w:t xml:space="preserve">администратором центра проведения экзамена </w:t>
      </w:r>
      <w:r>
        <w:t xml:space="preserve">вносится соответствующая запись в протокол проведения демонстрационного экзамена.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</w:pPr>
      <w:r>
        <w:t xml:space="preserve">Члены ГЭК, не входящие в состав экспертной группы, наблюдают за ходом проведения демонстрационного экзамена и вправе сообщать главному эксперту о выявленных фактах нарушения Порядка.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</w:pPr>
      <w:r>
        <w:t xml:space="preserve">Члены экспертной группы осуществляют оценку выполнения заданий демонстрационного экзамена самостоятельно.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</w:pPr>
      <w:r>
        <w:t xml:space="preserve">Главный эксперт вправе давать указания по организации и проведе</w:t>
      </w:r>
      <w:r>
        <w:t xml:space="preserve">нию демонстрационного экзамена, обязательные для выполнения лицами, привлеченными к проведению демонстрационного экзамена, и выпускникам, удалять из центра проведения экзамена лиц, допустивших грубое нарушение требований Порядка, требований охраны труда и </w:t>
      </w:r>
      <w:r>
        <w:t xml:space="preserve">безопасности производства, а также останавливать, приостанавливать и возобновлять проведение демонстрационного экзамена при возникновении необходимости устранения грубых нарушений требований Порядка, требований охраны труда и производственной безопасности.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  <w:tabs>
          <w:tab w:val="left" w:pos="851" w:leader="none"/>
        </w:tabs>
      </w:pPr>
      <w:r>
        <w:t xml:space="preserve">Главный эксперт обязан находиться в центре проведения экзамена до окончания демонстрационного экзамена, осуществлять контроль за соблюдением лицами, привлеченными к проведению демонстрационного экзамена, выпускниками требований Порядка.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  <w:tabs>
          <w:tab w:val="left" w:pos="851" w:leader="none"/>
        </w:tabs>
      </w:pPr>
      <w:r>
        <w:rPr>
          <w:shd w:val="clear" w:color="auto" w:fill="ffffff"/>
        </w:rPr>
        <w:t xml:space="preserve">Технический эксперт вправе </w:t>
      </w:r>
      <w:r>
        <w:t xml:space="preserve">наблюдать за ходом проведения демонстрационного экзамена; давать разъяснения и указания лицам, привлеченным к проведению демонстрационного экзамена, выпускникам по вопросам соблюдения требований охраны труда и производственной без</w:t>
      </w:r>
      <w:r>
        <w:t xml:space="preserve">опасности; сообщать главному эксперту о выявленных случаях нарушений лицами, привлеченными к проведению демонстрационного экзамена, выпускниками требований охраны труда и требований производственной безопасности; останавливать в случаях, требующих немедлен</w:t>
      </w:r>
      <w:r>
        <w:t xml:space="preserve">ного решения, в целях охраны жизни и здоровья лиц, привлеченных к проведению демонстрационного экзамена, выпускников действия выпускников по выполнению заданий, действия других лиц, находящихся в центре проведения экзамена с уведомлением главного эксперта.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  <w:tabs>
          <w:tab w:val="left" w:pos="851" w:leader="none"/>
        </w:tabs>
      </w:pPr>
      <w:r>
        <w:t xml:space="preserve">Выпускники вправе: пользоваться оборудованием центра проведения экзамена, необходимыми материалами, средствами обучения и воспитания в соответствии с требованиями комплекта оценочной документации, задания демонстрационного экзамена;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  <w:tabs>
          <w:tab w:val="left" w:pos="851" w:leader="none"/>
        </w:tabs>
      </w:pPr>
      <w:r>
        <w:t xml:space="preserve">-получать разъяснения технического эксперта по вопросам безопасной и бесперебойной эксплуатации оборудования центра проведения экзамена;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  <w:tabs>
          <w:tab w:val="left" w:pos="851" w:leader="none"/>
        </w:tabs>
      </w:pPr>
      <w:r>
        <w:t xml:space="preserve">-получить копию задания демонстрационного экзамена на бумажном носителе;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  <w:tabs>
          <w:tab w:val="left" w:pos="851" w:leader="none"/>
        </w:tabs>
      </w:pPr>
      <w:r>
        <w:t xml:space="preserve">Выпускники обязаны: во время проведения демонстрационного экзамена не пользоваться и не иметь при себе средства связи, носители информации, средства ее передачи и хранения, если это прямо не предусмотрено комплектом оценочной документации;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  <w:tabs>
          <w:tab w:val="left" w:pos="851" w:leader="none"/>
        </w:tabs>
      </w:pPr>
      <w:r>
        <w:t xml:space="preserve">-во время проведения демонстрационного экзамена использовать только средства обучения и воспитания, разрешенные комплектом оценочной документации;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  <w:tabs>
          <w:tab w:val="left" w:pos="851" w:leader="none"/>
        </w:tabs>
      </w:pPr>
      <w:r>
        <w:t xml:space="preserve">-во </w:t>
      </w:r>
      <w:r>
        <w:t xml:space="preserve">время проведения демонстрационного экзамена не взаимодействовать с другими выпускниками, экспертами, иными лицами, находящимися в центре проведения экзамена, если это не предусмотрено комплектом оценочной документации и заданием демонстрационного экзамена.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  <w:tabs>
          <w:tab w:val="left" w:pos="851" w:leader="none"/>
        </w:tabs>
      </w:pPr>
      <w:r>
        <w:t xml:space="preserve">Выпускники могут иметь при себе лекарственные средства и питание, прием которых осуществляется в специально отведенном для этого помещении согласно плану проведения демонстрационного экзамена за пределами центра проведения экзамена.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</w:pPr>
      <w:r>
        <w:t xml:space="preserve">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мест.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</w:pPr>
      <w:r>
        <w:t xml:space="preserve">П</w:t>
      </w:r>
      <w:r>
        <w:t xml:space="preserve">осле того, как все выпускники и лица, привлеченные к проведению демонстрационного экзамена, займут свои рабочие места в соответствии с требованиями охраны труда и производственной безопасности, главный эксперт объявляет о начале демонстрационного экзамена.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</w:pPr>
      <w:r>
        <w:t xml:space="preserve">Время начала демонстрационного экзамена фиксируется в протоколе проведения демонстрационного экзамена, составляемом </w:t>
      </w:r>
      <w:r>
        <w:t xml:space="preserve">администратором центра проведения экзамена </w:t>
      </w:r>
      <w:r>
        <w:t xml:space="preserve">по каждой экзаменационной группе.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</w:pPr>
      <w:r>
        <w:t xml:space="preserve">В случае удаления из центра проведения экзамена выпускника, лица, привлеченного к проведению демонстрационного экзамена, или присутствующего в центре проведения экзамена, </w:t>
      </w:r>
      <w:r>
        <w:t xml:space="preserve">администратором центра проведения экзамена </w:t>
      </w:r>
      <w:r>
        <w:t xml:space="preserve">составляется акт об удалении. Результаты ГИА выпускника, удаленного из центра проведения экзамена, аннулируются ГЭК, и такой выпускник признаётся ГЭК не прошедшим ГИА по неуважительной причине.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</w:pPr>
      <w:r>
        <w:t xml:space="preserve">После объявления </w:t>
      </w:r>
      <w:r>
        <w:t xml:space="preserve">администратором центра проведения экзамена </w:t>
      </w:r>
      <w:r>
        <w:t xml:space="preserve">окончания времени выполнения заданий выпускники прекращают любые действия по выполнению заданий демонстрационного экзамена.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</w:pPr>
      <w:r>
        <w:t xml:space="preserve">Выпускник по собственному желанию может завершить выполнение задания досрочно, уведомив об этом главного эксперта.</w:t>
      </w:r>
      <w:r/>
    </w:p>
    <w:p>
      <w:pPr>
        <w:pStyle w:val="982"/>
        <w:ind w:firstLine="709"/>
        <w:jc w:val="both"/>
        <w:spacing w:before="0" w:beforeAutospacing="0" w:after="0" w:afterAutospacing="0" w:line="276" w:lineRule="auto"/>
        <w:shd w:val="clear" w:color="auto" w:fill="ffffff"/>
      </w:pPr>
      <w:r>
        <w:t xml:space="preserve">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демонстрационного экзамена.</w:t>
      </w:r>
      <w:r/>
    </w:p>
    <w:p>
      <w:pPr>
        <w:pStyle w:val="968"/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Оценивание результатов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 Результаты проведения ГИА оцениваются с проставлением одной из отметок: "отлично", "хорошо", "удовлетворительно", "неудовлетворительно" - и объявляются в тот же день после оформления протоколов заседаний ГЭК.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Процедура оценивания результатов выполнения заданий демонстрационного экзамена осуществляется членами экспертной группы по балльной системе в соответствии с требованиями </w:t>
      </w:r>
      <w:r>
        <w:rPr>
          <w:rFonts w:ascii="Times New Roman" w:hAnsi="Times New Roman" w:cs="Times New Roman"/>
        </w:rPr>
        <w:t xml:space="preserve">КИМ.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  Баллы выставляются в протоколе проведения демонстрационного экзамена, который подписывается каждым членом экспертной группы и утверждается </w:t>
      </w:r>
      <w:r>
        <w:rPr>
          <w:rFonts w:ascii="Times New Roman" w:hAnsi="Times New Roman" w:cs="Times New Roman"/>
        </w:rPr>
        <w:t xml:space="preserve">администратором центра проведения экзамена </w:t>
      </w:r>
      <w:r>
        <w:rPr>
          <w:rFonts w:ascii="Times New Roman" w:hAnsi="Times New Roman" w:cs="Times New Roman"/>
        </w:rPr>
        <w:t xml:space="preserve">после завершения экзамена для экзаменационной группы.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 При выставлении баллов присутствует член ГЭК, не входящий в экспертную группу, присутствие других лиц запрещено.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5.5 Подписанный членами экспертной группы и утвержденный </w:t>
      </w:r>
      <w:r>
        <w:rPr>
          <w:rFonts w:ascii="Times New Roman" w:hAnsi="Times New Roman" w:cs="Times New Roman"/>
        </w:rPr>
        <w:t xml:space="preserve">администратором центра проведения экзамена </w:t>
      </w:r>
      <w:r>
        <w:rPr>
          <w:rFonts w:ascii="Times New Roman" w:hAnsi="Times New Roman" w:cs="Times New Roman"/>
        </w:rPr>
        <w:t xml:space="preserve">протокол проведения демонстрационного экзамена далее передается в ГЭК для выставления оценок по итогам ГИА. Оригинал протокола проведения демонстрационного экзамена передается на хранение в образовательную организацию в составе архивных документов.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5.6 Статус победителя, призера финала чемпионата по профессиональному мастерству "Профессионалы" и финала чемпионата высоких технологий по профилю осв</w:t>
      </w:r>
      <w:r>
        <w:rPr>
          <w:rFonts w:ascii="Times New Roman" w:hAnsi="Times New Roman" w:cs="Times New Roman"/>
        </w:rPr>
        <w:t xml:space="preserve">аиваемой образовательной программы среднего профессионального образования засчитывается выпускнику в качестве оценки "отлично" по демонстрационному экзамену в рамках проведения ГИА по данной образовательной программе среднего профессионального образования.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5.7 В случае досрочного завершения ГИА выпускником по н</w:t>
      </w:r>
      <w:r>
        <w:rPr>
          <w:rFonts w:ascii="Times New Roman" w:hAnsi="Times New Roman" w:cs="Times New Roman"/>
        </w:rPr>
        <w:t xml:space="preserve">езависящим от него причинам 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а такой выпускник признается ГЭК не прошедшим ГИА по уважительной причине.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5.8 Решение ГЭК оформляется протоколом, который подписывается председателем ГЭК, в </w:t>
      </w:r>
      <w:r>
        <w:rPr>
          <w:rFonts w:ascii="Times New Roman" w:hAnsi="Times New Roman" w:cs="Times New Roman"/>
        </w:rPr>
        <w:t xml:space="preserve">случае его отсутствия заместителем ГЭК и секретарем ГЭК и хранится в архиве ГАПОУ «ОГК»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5.10 Лицу, завершившему обучение по </w:t>
      </w:r>
      <w:r>
        <w:rPr>
          <w:rFonts w:ascii="Times New Roman" w:hAnsi="Times New Roman" w:cs="Times New Roman"/>
        </w:rPr>
        <w:t xml:space="preserve">образовательной программе среднего профессионального образования и успешно прошедшему государственную итоговую аттестацию, на основании решения Государственной экзаменационной комиссии выдается диплом о среднем профессиональном образовании и присваивается </w:t>
      </w:r>
      <w:r>
        <w:rPr>
          <w:rFonts w:ascii="Times New Roman" w:hAnsi="Times New Roman" w:cs="Times New Roman"/>
        </w:rPr>
        <w:t xml:space="preserve">соответствующая </w:t>
      </w:r>
      <w:r>
        <w:rPr>
          <w:rFonts w:ascii="Times New Roman" w:hAnsi="Times New Roman" w:cs="Times New Roman"/>
        </w:rPr>
        <w:t xml:space="preserve">квалификация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Диплом с отличием выдается при следующих условиях: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все указанные в приложении к диплому оценки по учебным дисциплинам (модулям), курсам, предметам, практикам за исключением оценок «зачтено» являются оценками «отлично» и «хорошо»; 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все оценки по результатам ГИА являются оценками «отлично»;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количество указанных в приложении к диплому оценок «отлично», включая оценки по результатам ГИА, составляют не менее 75% от общего количества оценок, указанных в приложении к диплому за исключением оценок «зачтено».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5.11 Решение ГЭК о выдаче диплома выпускникам оформляется протоколом ГЭК и приказом директора ГАПОУ «ОГК».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 . Порядок подачи и рассмотрения апелляций</w:t>
      </w:r>
      <w:r>
        <w:rPr>
          <w:rFonts w:ascii="Times New Roman" w:hAnsi="Times New Roman" w:cs="Times New Roman"/>
          <w:b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результатам ГИА выпускник имеет право подать в апелляционную комиссию письменную апелляцию о нарушении, по его мнению, Порядка и (или) несогласии с результатами ГИА.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 Апелляция подается лично выпускником или родителями (законными представителями) несовершеннолетнего выпускника в апелляционную комиссию образовательной организации.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6.2Апелляция о нарушении Порядка подается непосредственно в день проведения ГИА, в том числе до выхода из центра проведения экзамена.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 Апелляция о несогласии с результатами ГИА подается не позднее следующего рабочего дня после объявления результатов ГИА.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6.4 Апелляция рассматривается апелляционной комиссией не позднее трех рабочих дней с момента ее поступления.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6.5 Состав апелляционной комиссии утверждается образовательной организацией одновременно с утверждением состава ГЭК.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6.6 Апелляция рассматривается на заседании апелляционной комиссии с участием не менее двух третей ее состава.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6.6 На заседание апелляционной комиссии приглашается председатель ГЭК, а также </w:t>
      </w:r>
      <w:r>
        <w:rPr>
          <w:rFonts w:ascii="Times New Roman" w:hAnsi="Times New Roman" w:cs="Times New Roman"/>
        </w:rPr>
        <w:t xml:space="preserve">администратор центра проведения экзамена </w:t>
      </w:r>
      <w:r>
        <w:rPr>
          <w:rFonts w:ascii="Times New Roman" w:hAnsi="Times New Roman" w:cs="Times New Roman"/>
        </w:rPr>
        <w:t xml:space="preserve">при проведении ГИА в форме демонстрационного </w:t>
      </w:r>
      <w:r>
        <w:rPr>
          <w:rFonts w:ascii="Times New Roman" w:hAnsi="Times New Roman" w:cs="Times New Roman"/>
        </w:rPr>
        <w:t xml:space="preserve">экзамена. </w:t>
      </w:r>
      <w:r>
        <w:rPr>
          <w:rFonts w:ascii="Times New Roman" w:hAnsi="Times New Roman" w:cs="Times New Roman"/>
        </w:rPr>
        <w:t xml:space="preserve">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6.7 По решению председателя апелляционной комиссии заседание апелляционной комиссии может пройти с применением средств видео, конференц-связи, а равно посредством предоставления письменных пояснений по поставленным апелляционной комиссией вопросам.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6.8 Выпускн</w:t>
      </w:r>
      <w:r>
        <w:rPr>
          <w:rFonts w:ascii="Times New Roman" w:hAnsi="Times New Roman" w:cs="Times New Roman"/>
        </w:rPr>
        <w:t xml:space="preserve">ик, подавший апелляцию, имеет право присутствовать при рассмотрении апелляции. С несовершеннолетним выпускником имеет право присутствовать один из родителей (законных представителей). Указанные лица должны при себе иметь документы, удостоверяющие личность.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6.9 Рассмотрение апелляции не является пересдачей ГИА.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6.10 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отклонении апелляции, если изложенные в ней сведения о нарушениях Порядка не подтвердились и (или) не повлияли на результат ГИА;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удовлетворении апелляции, если изложенные в ней сведения о допущенных нарушениях Порядка подтвердились и повлияли на результат ГИА.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</w:t>
      </w:r>
      <w:r>
        <w:rPr>
          <w:rFonts w:ascii="Times New Roman" w:hAnsi="Times New Roman" w:cs="Times New Roman"/>
        </w:rPr>
        <w:t xml:space="preserve">ляционной комиссии. Выпускнику предоставляется возможность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более четырёх месяцев после подачи апелляции.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6.11 В случае рассмотрения апелляции о несогласии с результатами ГИА, полученными при прохождении демонстрационного экзамена, секретарь ГЭК не позднее следующего рабочего дня с момента поступления апелляции направляет в апелл</w:t>
      </w:r>
      <w:r>
        <w:rPr>
          <w:rFonts w:ascii="Times New Roman" w:hAnsi="Times New Roman" w:cs="Times New Roman"/>
        </w:rPr>
        <w:t xml:space="preserve">яционную комиссию протокол заседания ГЭК, протокол проведения демонстрационного экзамена, письменные ответы выпускника (при их наличии), результаты работ выпускника, подавшего апелляцию, видеозаписи хода проведения демонстрационного экзамена (при наличии).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</w:t>
      </w:r>
      <w:r>
        <w:rPr>
          <w:rFonts w:ascii="Times New Roman" w:hAnsi="Times New Roman" w:cs="Times New Roman"/>
        </w:rPr>
        <w:t xml:space="preserve">12 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</w:t>
      </w:r>
      <w:r>
        <w:rPr>
          <w:rFonts w:ascii="Times New Roman" w:hAnsi="Times New Roman" w:cs="Times New Roman"/>
        </w:rPr>
        <w:t xml:space="preserve">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6.13. 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6.14 Решение апелляционной комиссии является окончательным и пересмотру не подлежит.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6.15 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ГАПОУ «ОГК».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7. Особенности проведения ГИА для выпускников из числа лиц с ограниченными</w:t>
      </w:r>
      <w:r>
        <w:rPr>
          <w:rFonts w:ascii="Times New Roman" w:hAnsi="Times New Roman" w:cs="Times New Roman"/>
          <w:b/>
        </w:rPr>
      </w:r>
    </w:p>
    <w:p>
      <w:pPr>
        <w:pStyle w:val="968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возможностями здоровья, детей-инвалидов и инвалидов</w:t>
      </w:r>
      <w:r>
        <w:rPr>
          <w:rFonts w:ascii="Times New Roman" w:hAnsi="Times New Roman" w:cs="Times New Roman"/>
          <w:b/>
        </w:rPr>
      </w:r>
    </w:p>
    <w:p>
      <w:pPr>
        <w:pStyle w:val="968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Для выпускников из числа лиц с </w:t>
      </w:r>
      <w:r>
        <w:rPr>
          <w:rFonts w:ascii="Times New Roman" w:hAnsi="Times New Roman" w:cs="Times New Roman"/>
        </w:rPr>
        <w:t xml:space="preserve">ограниченными возможностями здоровья и выпускников из числа детей-инвалидов и инвалидов проводится ГИА 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При проведении ГИА обеспечивается соблюдение следующих общих требований: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проведение ГИА для выпу</w:t>
      </w:r>
      <w:r>
        <w:rPr>
          <w:rFonts w:ascii="Times New Roman" w:hAnsi="Times New Roman" w:cs="Times New Roman"/>
        </w:rPr>
        <w:t xml:space="preserve">скников с ограниченными возможностями здоровья, выпускников из числа детей-инвалидов и инвалидов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ГИА;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присутствие в аудитории, центре</w:t>
      </w:r>
      <w:r>
        <w:rPr>
          <w:rFonts w:ascii="Times New Roman" w:hAnsi="Times New Roman" w:cs="Times New Roman"/>
        </w:rPr>
        <w:t xml:space="preserve"> проведения экзамена тьютора, ассистента, оказывающих выпускникам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ГЭК, членами экспертной группы);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пользование необходимыми выпускникам техническими средствами при прохождении ГИА с учетом их индивидуальных особенностей;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обеспечение возможности беспрепятственного доступа выпускников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</w:t>
      </w:r>
      <w:r>
        <w:rPr>
          <w:rFonts w:ascii="Times New Roman" w:hAnsi="Times New Roman" w:cs="Times New Roman"/>
        </w:rPr>
        <w:t xml:space="preserve">должна располагаться на первом этаже, наличие специальных кресел и других приспособлений).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здоровья, выпускников из числа детей-инвалидов и инвалидов: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для слепых: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задания для выполнения, а также инструкция о порядке ГИА, комплект оценочной доку</w:t>
      </w:r>
      <w:r>
        <w:rPr>
          <w:rFonts w:ascii="Times New Roman" w:hAnsi="Times New Roman" w:cs="Times New Roman"/>
        </w:rPr>
        <w:t xml:space="preserve">ментации, задания демонстрационного экзамена оформляются рельефно-точечным шрифтом по системе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письменные задания выполняются на бумаге рельефно-точечным шрифтом по системе Брайля или на компьютере со специализированным программным обеспечением для слепых, или надиктовываются ассистенту;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для слабовидящих: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обеспечивается индивидуальное равномерное освещение не менее 300 люкс;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выпускникам для выполнения задания при необходимости предоставляется увеличивающее устройство;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задания для выполнения, а также инструкция о порядке проведения государственной аттестации оформляются увеличенным шрифтом;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для глухих и слабослышащих, с тяжелыми нарушениями речи: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пользования;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их желанию государственный экзамен может проводиться в письменной форме;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г) 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письменные задания выполняются на компьютере со специализированным программным обеспечением или надиктовываются ассистенту;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их желанию государственный экзамен может проводиться в устной форме;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д) также для выпускников из числа лиц с ограниченными возможностями здоровья и выпускников из числа детей-инвалидов и инвалидов соз</w:t>
      </w:r>
      <w:r>
        <w:rPr>
          <w:rFonts w:ascii="Times New Roman" w:hAnsi="Times New Roman" w:cs="Times New Roman"/>
        </w:rPr>
        <w:t xml:space="preserve">даются иные специальные условия проведения ГИА в соответствии с рекомендациями психолого-медико-педагогической комиссии, справкой, подтверждающей факт установления инвалидности, выданной федеральным государственным учреждением медико-социальной экспертизы.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7.4. Выпускники или родители (законные представители) несовершеннолетних выпускников не позднее чем за 3 месяца до начала ГИА подают в образовательную </w:t>
      </w:r>
      <w:r>
        <w:rPr>
          <w:rFonts w:ascii="Times New Roman" w:hAnsi="Times New Roman" w:cs="Times New Roman"/>
        </w:rPr>
        <w:t xml:space="preserve">организацию письменное заявление о необходимости создания для них специальных условий при проведении ГИА с приложением копии рекомендаций ПМПК, а дети-инвалиды, инвалиды - оригинала или заверенной копии справки, а также копии рекомендаций ПМПК при наличии.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8</w:t>
      </w:r>
      <w:r>
        <w:rPr>
          <w:rFonts w:ascii="Times New Roman" w:hAnsi="Times New Roman" w:cs="Times New Roman"/>
          <w:b/>
        </w:rPr>
        <w:t xml:space="preserve">. Порядок повторного прохождения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Лицам, не проходившим ГИА по уважительной причине, предоставляется возможность пройти ее без отчисления из ГАПОУ «ОГК» в установленные дополнительные сроки: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-для лиц, не прошедших государственную итоговую аттестац</w:t>
      </w:r>
      <w:r>
        <w:rPr>
          <w:rFonts w:ascii="Times New Roman" w:hAnsi="Times New Roman" w:cs="Times New Roman"/>
        </w:rPr>
        <w:t xml:space="preserve">ию по уважительной причине - «24</w:t>
      </w:r>
      <w:r>
        <w:rPr>
          <w:rFonts w:ascii="Times New Roman" w:hAnsi="Times New Roman" w:cs="Times New Roman"/>
        </w:rPr>
        <w:t xml:space="preserve">» сентября 202</w:t>
      </w:r>
      <w:r>
        <w:rPr>
          <w:rFonts w:ascii="Times New Roman" w:hAnsi="Times New Roman" w:cs="Times New Roman"/>
        </w:rPr>
        <w:t xml:space="preserve">7</w:t>
      </w:r>
      <w:r>
        <w:rPr>
          <w:rFonts w:ascii="Times New Roman" w:hAnsi="Times New Roman" w:cs="Times New Roman"/>
        </w:rPr>
        <w:t xml:space="preserve">г.;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Лица, не прошедшие </w:t>
      </w:r>
      <w:r>
        <w:rPr>
          <w:rFonts w:ascii="Times New Roman" w:hAnsi="Times New Roman" w:cs="Times New Roman"/>
        </w:rPr>
        <w:t xml:space="preserve">ГИА по неуважительной причине или показавшие неудовлетворительные результаты отчисляются из образовательной организации и восстанавливаю</w:t>
      </w:r>
      <w:r>
        <w:rPr>
          <w:rFonts w:ascii="Times New Roman" w:hAnsi="Times New Roman" w:cs="Times New Roman"/>
        </w:rPr>
        <w:t xml:space="preserve">тся для сдачи ГИА на срок — с «22</w:t>
      </w:r>
      <w:r>
        <w:rPr>
          <w:rFonts w:ascii="Times New Roman" w:hAnsi="Times New Roman" w:cs="Times New Roman"/>
        </w:rPr>
        <w:t xml:space="preserve">» июня по «28» июня 202</w:t>
      </w:r>
      <w:r>
        <w:rPr>
          <w:rFonts w:ascii="Times New Roman" w:hAnsi="Times New Roman" w:cs="Times New Roman"/>
        </w:rPr>
        <w:t xml:space="preserve">8</w:t>
      </w:r>
      <w:r>
        <w:rPr>
          <w:rFonts w:ascii="Times New Roman" w:hAnsi="Times New Roman" w:cs="Times New Roman"/>
        </w:rPr>
        <w:t xml:space="preserve">г.;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лиц, подавших апелляцию о нарушении порядка проведения ГИА и получивших </w:t>
      </w:r>
      <w:r>
        <w:rPr>
          <w:rFonts w:ascii="Times New Roman" w:hAnsi="Times New Roman" w:cs="Times New Roman"/>
        </w:rPr>
        <w:t xml:space="preserve">положительное решение апелляционной комиссии — в дополнительные сроки установленные ГАПОУ «ОГК».</w:t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8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8"/>
        <w:jc w:val="center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9" w:h="16834" w:orient="portrait"/>
      <w:pgMar w:top="851" w:right="567" w:bottom="851" w:left="1418" w:header="0" w:footer="6" w:gutter="0"/>
      <w:pgNumType w:start="82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00000000000000000"/>
  </w:font>
  <w:font w:name="Symbol">
    <w:panose1 w:val="05050102010706020507"/>
  </w:font>
  <w:font w:name="MS Gothic">
    <w:panose1 w:val="020B0609070205080204"/>
  </w:font>
  <w:font w:name="Verdana">
    <w:panose1 w:val="020B0604030504040204"/>
  </w:font>
  <w:font w:name="Franklin Gothic Heavy">
    <w:panose1 w:val="020B0903020102020204"/>
  </w:font>
  <w:font w:name="Times New Roman">
    <w:panose1 w:val="02020603050405020304"/>
  </w:font>
  <w:font w:name="Arial">
    <w:panose1 w:val="020B0604020202020204"/>
  </w:font>
  <w:font w:name="Courier New">
    <w:panose1 w:val="020703090202050204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/>
      <w:r/>
    </w:p>
  </w:footnote>
  <w:footnote w:type="continuationSeparator" w:id="0">
    <w:p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Arial" w:hAnsi="Arial" w:eastAsia="Arial" w:cs="Arial"/>
        <w:b/>
        <w:bCs/>
        <w:i w:val="0"/>
        <w:iCs w:val="0"/>
        <w:smallCaps w:val="0"/>
        <w:strike w:val="0"/>
        <w:color w:val="000000"/>
        <w:spacing w:val="0"/>
        <w:position w:val="0"/>
        <w:sz w:val="16"/>
        <w:szCs w:val="16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 w:val="false"/>
      <w:suff w:val="tab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Arial" w:hAnsi="Arial" w:eastAsia="Arial" w:cs="Arial"/>
        <w:b/>
        <w:bCs/>
        <w:i w:val="0"/>
        <w:iCs w:val="0"/>
        <w:smallCaps w:val="0"/>
        <w:strike w:val="0"/>
        <w:color w:val="000000"/>
        <w:spacing w:val="0"/>
        <w:position w:val="0"/>
        <w:sz w:val="12"/>
        <w:szCs w:val="12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4.5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center"/>
      <w:pPr>
        <w:ind w:left="1854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 w:val="false"/>
      <w:suff w:val="tab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8">
    <w:multiLevelType w:val="hybridMultilevel"/>
    <w:lvl w:ilvl="0">
      <w:start w:val="3"/>
      <w:numFmt w:val="decimal"/>
      <w:isLgl w:val="false"/>
      <w:suff w:val="tab"/>
      <w:lvlText w:val="4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center"/>
      <w:pPr>
        <w:ind w:left="1854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3"/>
      <w:numFmt w:val="decimal"/>
      <w:isLgl w:val="false"/>
      <w:suff w:val="tab"/>
      <w:lvlText w:val="4.1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4.4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center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3"/>
      <w:numFmt w:val="decimal"/>
      <w:isLgl w:val="false"/>
      <w:suff w:val="tab"/>
      <w:lvlText w:val="4.4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center"/>
      <w:pPr>
        <w:ind w:left="1854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center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—"/>
      <w:lvlJc w:val="left"/>
      <w:pPr/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8">
    <w:multiLevelType w:val="hybridMultilevel"/>
    <w:lvl w:ilvl="0">
      <w:start w:val="4"/>
      <w:numFmt w:val="decimal"/>
      <w:isLgl w:val="false"/>
      <w:suff w:val="tab"/>
      <w:lvlText w:val="8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9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0">
    <w:multiLevelType w:val="hybridMultilevel"/>
    <w:lvl w:ilvl="0">
      <w:start w:val="12"/>
      <w:numFmt w:val="decimal"/>
      <w:isLgl w:val="false"/>
      <w:suff w:val="tab"/>
      <w:lvlText w:val="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42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"/>
      <w:lvlJc w:val="center"/>
      <w:pPr>
        <w:ind w:left="1854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7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9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1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3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5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7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9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1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30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4.3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center"/>
      <w:pPr>
        <w:ind w:left="644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Arial" w:hAnsi="Arial" w:eastAsia="Arial" w:cs="Arial"/>
        <w:b/>
        <w:bCs/>
        <w:i w:val="0"/>
        <w:iCs w:val="0"/>
        <w:smallCaps w:val="0"/>
        <w:strike w:val="0"/>
        <w:color w:val="000000"/>
        <w:spacing w:val="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8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291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63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35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07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79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51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23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95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672" w:hanging="180"/>
      </w:pPr>
    </w:lvl>
  </w:abstractNum>
  <w:abstractNum w:abstractNumId="29">
    <w:multiLevelType w:val="hybridMultilevel"/>
    <w:lvl w:ilvl="0">
      <w:start w:val="4"/>
      <w:numFmt w:val="decimal"/>
      <w:isLgl w:val="false"/>
      <w:suff w:val="tab"/>
      <w:lvlText w:val="5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0">
    <w:multiLevelType w:val="hybridMultilevel"/>
    <w:lvl w:ilvl="0">
      <w:start w:val="3"/>
      <w:numFmt w:val="decimal"/>
      <w:isLgl w:val="false"/>
      <w:suff w:val="tab"/>
      <w:lvlText w:val="42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1">
    <w:multiLevelType w:val="hybridMultilevel"/>
    <w:lvl w:ilvl="0">
      <w:start w:val="4"/>
      <w:numFmt w:val="decimal"/>
      <w:isLgl w:val="false"/>
      <w:suff w:val="tab"/>
      <w:lvlText w:val="1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"/>
      <w:lvlJc w:val="center"/>
      <w:pPr>
        <w:ind w:left="1854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"/>
      <w:lvlJc w:val="center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"/>
      <w:lvlJc w:val="center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multiLevelType w:val="hybridMultilevel"/>
    <w:lvl w:ilvl="0">
      <w:start w:val="4"/>
      <w:numFmt w:val="decimal"/>
      <w:isLgl w:val="false"/>
      <w:suff w:val="tab"/>
      <w:lvlText w:val="7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6">
    <w:multiLevelType w:val="hybridMultilevel"/>
    <w:lvl w:ilvl="0">
      <w:start w:val="3"/>
      <w:numFmt w:val="decimal"/>
      <w:isLgl w:val="false"/>
      <w:suff w:val="tab"/>
      <w:lvlText w:val="2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7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38">
    <w:multiLevelType w:val="hybridMultilevel"/>
    <w:lvl w:ilvl="0">
      <w:start w:val="3"/>
      <w:numFmt w:val="decimal"/>
      <w:isLgl w:val="false"/>
      <w:suff w:val="tab"/>
      <w:lvlText w:val="4.3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27"/>
  </w:num>
  <w:num w:numId="2">
    <w:abstractNumId w:val="20"/>
  </w:num>
  <w:num w:numId="3">
    <w:abstractNumId w:val="17"/>
  </w:num>
  <w:num w:numId="4">
    <w:abstractNumId w:val="0"/>
  </w:num>
  <w:num w:numId="5">
    <w:abstractNumId w:val="31"/>
  </w:num>
  <w:num w:numId="6">
    <w:abstractNumId w:val="36"/>
  </w:num>
  <w:num w:numId="7">
    <w:abstractNumId w:val="10"/>
  </w:num>
  <w:num w:numId="8">
    <w:abstractNumId w:val="21"/>
  </w:num>
  <w:num w:numId="9">
    <w:abstractNumId w:val="30"/>
  </w:num>
  <w:num w:numId="10">
    <w:abstractNumId w:val="8"/>
  </w:num>
  <w:num w:numId="11">
    <w:abstractNumId w:val="24"/>
  </w:num>
  <w:num w:numId="12">
    <w:abstractNumId w:val="38"/>
  </w:num>
  <w:num w:numId="13">
    <w:abstractNumId w:val="11"/>
  </w:num>
  <w:num w:numId="14">
    <w:abstractNumId w:val="13"/>
  </w:num>
  <w:num w:numId="15">
    <w:abstractNumId w:val="4"/>
  </w:num>
  <w:num w:numId="16">
    <w:abstractNumId w:val="3"/>
  </w:num>
  <w:num w:numId="17">
    <w:abstractNumId w:val="29"/>
  </w:num>
  <w:num w:numId="18">
    <w:abstractNumId w:val="35"/>
  </w:num>
  <w:num w:numId="19">
    <w:abstractNumId w:val="18"/>
  </w:num>
  <w:num w:numId="20">
    <w:abstractNumId w:val="25"/>
  </w:num>
  <w:num w:numId="21">
    <w:abstractNumId w:val="34"/>
  </w:num>
  <w:num w:numId="22">
    <w:abstractNumId w:val="9"/>
  </w:num>
  <w:num w:numId="23">
    <w:abstractNumId w:val="12"/>
  </w:num>
  <w:num w:numId="24">
    <w:abstractNumId w:val="33"/>
  </w:num>
  <w:num w:numId="25">
    <w:abstractNumId w:val="6"/>
  </w:num>
  <w:num w:numId="26">
    <w:abstractNumId w:val="14"/>
  </w:num>
  <w:num w:numId="27">
    <w:abstractNumId w:val="32"/>
  </w:num>
  <w:num w:numId="28">
    <w:abstractNumId w:val="19"/>
  </w:num>
  <w:num w:numId="29">
    <w:abstractNumId w:val="5"/>
  </w:num>
  <w:num w:numId="30">
    <w:abstractNumId w:val="22"/>
  </w:num>
  <w:num w:numId="31">
    <w:abstractNumId w:val="15"/>
  </w:num>
  <w:num w:numId="32">
    <w:abstractNumId w:val="26"/>
  </w:num>
  <w:num w:numId="33">
    <w:abstractNumId w:val="16"/>
  </w:num>
  <w:num w:numId="34">
    <w:abstractNumId w:val="1"/>
  </w:num>
  <w:num w:numId="35">
    <w:abstractNumId w:val="37"/>
  </w:num>
  <w:num w:numId="36">
    <w:abstractNumId w:val="28"/>
  </w:num>
  <w:num w:numId="37">
    <w:abstractNumId w:val="2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</w:num>
  <w:num w:numId="39">
    <w:abstractNumId w:val="2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</w:num>
  <w:num w:numId="41">
    <w:abstractNumId w:val="7"/>
  </w:num>
  <w:num w:numId="42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ourier New" w:hAnsi="Courier New" w:eastAsia="Courier New" w:cs="Courier New"/>
        <w:sz w:val="24"/>
        <w:szCs w:val="24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35">
    <w:name w:val="Title Char"/>
    <w:basedOn w:val="736"/>
    <w:link w:val="755"/>
    <w:uiPriority w:val="10"/>
    <w:rPr>
      <w:sz w:val="48"/>
      <w:szCs w:val="48"/>
    </w:rPr>
  </w:style>
  <w:style w:type="character" w:styleId="37">
    <w:name w:val="Subtitle Char"/>
    <w:basedOn w:val="736"/>
    <w:link w:val="757"/>
    <w:uiPriority w:val="11"/>
    <w:rPr>
      <w:sz w:val="24"/>
      <w:szCs w:val="24"/>
    </w:rPr>
  </w:style>
  <w:style w:type="character" w:styleId="39">
    <w:name w:val="Quote Char"/>
    <w:link w:val="759"/>
    <w:uiPriority w:val="29"/>
    <w:rPr>
      <w:i/>
    </w:rPr>
  </w:style>
  <w:style w:type="character" w:styleId="41">
    <w:name w:val="Intense Quote Char"/>
    <w:link w:val="761"/>
    <w:uiPriority w:val="30"/>
    <w:rPr>
      <w:i/>
    </w:rPr>
  </w:style>
  <w:style w:type="character" w:styleId="176">
    <w:name w:val="Footnote Text Char"/>
    <w:link w:val="892"/>
    <w:uiPriority w:val="99"/>
    <w:rPr>
      <w:sz w:val="18"/>
    </w:rPr>
  </w:style>
  <w:style w:type="character" w:styleId="179">
    <w:name w:val="Endnote Text Char"/>
    <w:link w:val="895"/>
    <w:uiPriority w:val="99"/>
    <w:rPr>
      <w:sz w:val="20"/>
    </w:rPr>
  </w:style>
  <w:style w:type="paragraph" w:styleId="735" w:default="1">
    <w:name w:val="Normal"/>
    <w:rPr>
      <w:color w:val="000000"/>
    </w:rPr>
  </w:style>
  <w:style w:type="character" w:styleId="736" w:default="1">
    <w:name w:val="Default Paragraph Font"/>
    <w:uiPriority w:val="1"/>
    <w:semiHidden/>
    <w:unhideWhenUsed/>
  </w:style>
  <w:style w:type="table" w:styleId="737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8" w:default="1">
    <w:name w:val="No List"/>
    <w:uiPriority w:val="99"/>
    <w:semiHidden/>
    <w:unhideWhenUsed/>
  </w:style>
  <w:style w:type="character" w:styleId="739" w:customStyle="1">
    <w:name w:val="Heading 1 Char"/>
    <w:basedOn w:val="736"/>
    <w:link w:val="909"/>
    <w:uiPriority w:val="9"/>
    <w:rPr>
      <w:rFonts w:ascii="Arial" w:hAnsi="Arial" w:eastAsia="Arial" w:cs="Arial"/>
      <w:sz w:val="40"/>
      <w:szCs w:val="40"/>
    </w:rPr>
  </w:style>
  <w:style w:type="character" w:styleId="740" w:customStyle="1">
    <w:name w:val="Heading 2 Char"/>
    <w:basedOn w:val="736"/>
    <w:link w:val="910"/>
    <w:uiPriority w:val="9"/>
    <w:rPr>
      <w:rFonts w:ascii="Arial" w:hAnsi="Arial" w:eastAsia="Arial" w:cs="Arial"/>
      <w:sz w:val="34"/>
    </w:rPr>
  </w:style>
  <w:style w:type="paragraph" w:styleId="741" w:customStyle="1">
    <w:name w:val="Heading 3"/>
    <w:basedOn w:val="735"/>
    <w:next w:val="735"/>
    <w:link w:val="74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2" w:customStyle="1">
    <w:name w:val="Heading 3 Char"/>
    <w:basedOn w:val="736"/>
    <w:link w:val="741"/>
    <w:uiPriority w:val="9"/>
    <w:rPr>
      <w:rFonts w:ascii="Arial" w:hAnsi="Arial" w:eastAsia="Arial" w:cs="Arial"/>
      <w:sz w:val="30"/>
      <w:szCs w:val="30"/>
    </w:rPr>
  </w:style>
  <w:style w:type="paragraph" w:styleId="743" w:customStyle="1">
    <w:name w:val="Heading 4"/>
    <w:basedOn w:val="735"/>
    <w:next w:val="735"/>
    <w:link w:val="74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4" w:customStyle="1">
    <w:name w:val="Heading 4 Char"/>
    <w:basedOn w:val="736"/>
    <w:link w:val="743"/>
    <w:uiPriority w:val="9"/>
    <w:rPr>
      <w:rFonts w:ascii="Arial" w:hAnsi="Arial" w:eastAsia="Arial" w:cs="Arial"/>
      <w:b/>
      <w:bCs/>
      <w:sz w:val="26"/>
      <w:szCs w:val="26"/>
    </w:rPr>
  </w:style>
  <w:style w:type="paragraph" w:styleId="745" w:customStyle="1">
    <w:name w:val="Heading 5"/>
    <w:basedOn w:val="735"/>
    <w:next w:val="735"/>
    <w:link w:val="74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character" w:styleId="746" w:customStyle="1">
    <w:name w:val="Heading 5 Char"/>
    <w:basedOn w:val="736"/>
    <w:link w:val="745"/>
    <w:uiPriority w:val="9"/>
    <w:rPr>
      <w:rFonts w:ascii="Arial" w:hAnsi="Arial" w:eastAsia="Arial" w:cs="Arial"/>
      <w:b/>
      <w:bCs/>
      <w:sz w:val="24"/>
      <w:szCs w:val="24"/>
    </w:rPr>
  </w:style>
  <w:style w:type="paragraph" w:styleId="747" w:customStyle="1">
    <w:name w:val="Heading 6"/>
    <w:basedOn w:val="735"/>
    <w:next w:val="735"/>
    <w:link w:val="74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8" w:customStyle="1">
    <w:name w:val="Heading 6 Char"/>
    <w:basedOn w:val="736"/>
    <w:link w:val="747"/>
    <w:uiPriority w:val="9"/>
    <w:rPr>
      <w:rFonts w:ascii="Arial" w:hAnsi="Arial" w:eastAsia="Arial" w:cs="Arial"/>
      <w:b/>
      <w:bCs/>
      <w:sz w:val="22"/>
      <w:szCs w:val="22"/>
    </w:rPr>
  </w:style>
  <w:style w:type="paragraph" w:styleId="749" w:customStyle="1">
    <w:name w:val="Heading 7"/>
    <w:basedOn w:val="735"/>
    <w:next w:val="735"/>
    <w:link w:val="75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0" w:customStyle="1">
    <w:name w:val="Heading 7 Char"/>
    <w:basedOn w:val="736"/>
    <w:link w:val="74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1" w:customStyle="1">
    <w:name w:val="Heading 8"/>
    <w:basedOn w:val="735"/>
    <w:next w:val="735"/>
    <w:link w:val="75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2" w:customStyle="1">
    <w:name w:val="Heading 8 Char"/>
    <w:basedOn w:val="736"/>
    <w:link w:val="751"/>
    <w:uiPriority w:val="9"/>
    <w:rPr>
      <w:rFonts w:ascii="Arial" w:hAnsi="Arial" w:eastAsia="Arial" w:cs="Arial"/>
      <w:i/>
      <w:iCs/>
      <w:sz w:val="22"/>
      <w:szCs w:val="22"/>
    </w:rPr>
  </w:style>
  <w:style w:type="paragraph" w:styleId="753" w:customStyle="1">
    <w:name w:val="Heading 9"/>
    <w:basedOn w:val="735"/>
    <w:next w:val="735"/>
    <w:link w:val="75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4" w:customStyle="1">
    <w:name w:val="Heading 9 Char"/>
    <w:basedOn w:val="736"/>
    <w:link w:val="753"/>
    <w:uiPriority w:val="9"/>
    <w:rPr>
      <w:rFonts w:ascii="Arial" w:hAnsi="Arial" w:eastAsia="Arial" w:cs="Arial"/>
      <w:i/>
      <w:iCs/>
      <w:sz w:val="21"/>
      <w:szCs w:val="21"/>
    </w:rPr>
  </w:style>
  <w:style w:type="paragraph" w:styleId="755">
    <w:name w:val="Title"/>
    <w:basedOn w:val="735"/>
    <w:next w:val="735"/>
    <w:link w:val="75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6" w:customStyle="1">
    <w:name w:val="Название Знак"/>
    <w:basedOn w:val="736"/>
    <w:link w:val="755"/>
    <w:uiPriority w:val="10"/>
    <w:rPr>
      <w:sz w:val="48"/>
      <w:szCs w:val="48"/>
    </w:rPr>
  </w:style>
  <w:style w:type="paragraph" w:styleId="757">
    <w:name w:val="Subtitle"/>
    <w:basedOn w:val="735"/>
    <w:next w:val="735"/>
    <w:link w:val="758"/>
    <w:uiPriority w:val="11"/>
    <w:qFormat/>
    <w:pPr>
      <w:spacing w:before="200" w:after="200"/>
    </w:pPr>
  </w:style>
  <w:style w:type="character" w:styleId="758" w:customStyle="1">
    <w:name w:val="Подзаголовок Знак"/>
    <w:basedOn w:val="736"/>
    <w:link w:val="757"/>
    <w:uiPriority w:val="11"/>
    <w:rPr>
      <w:sz w:val="24"/>
      <w:szCs w:val="24"/>
    </w:rPr>
  </w:style>
  <w:style w:type="paragraph" w:styleId="759">
    <w:name w:val="Quote"/>
    <w:basedOn w:val="735"/>
    <w:next w:val="735"/>
    <w:link w:val="760"/>
    <w:uiPriority w:val="29"/>
    <w:qFormat/>
    <w:pPr>
      <w:ind w:left="720" w:right="720"/>
    </w:pPr>
    <w:rPr>
      <w:i/>
    </w:rPr>
  </w:style>
  <w:style w:type="character" w:styleId="760" w:customStyle="1">
    <w:name w:val="Цитата 2 Знак"/>
    <w:link w:val="759"/>
    <w:uiPriority w:val="29"/>
    <w:rPr>
      <w:i/>
    </w:rPr>
  </w:style>
  <w:style w:type="paragraph" w:styleId="761">
    <w:name w:val="Intense Quote"/>
    <w:basedOn w:val="735"/>
    <w:next w:val="735"/>
    <w:link w:val="76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2" w:customStyle="1">
    <w:name w:val="Выделенная цитата Знак"/>
    <w:link w:val="761"/>
    <w:uiPriority w:val="30"/>
    <w:rPr>
      <w:i/>
    </w:rPr>
  </w:style>
  <w:style w:type="character" w:styleId="763" w:customStyle="1">
    <w:name w:val="Header Char"/>
    <w:basedOn w:val="736"/>
    <w:link w:val="969"/>
    <w:uiPriority w:val="99"/>
  </w:style>
  <w:style w:type="character" w:styleId="764" w:customStyle="1">
    <w:name w:val="Footer Char"/>
    <w:basedOn w:val="736"/>
    <w:link w:val="971"/>
    <w:uiPriority w:val="99"/>
  </w:style>
  <w:style w:type="paragraph" w:styleId="765" w:customStyle="1">
    <w:name w:val="Caption"/>
    <w:basedOn w:val="735"/>
    <w:next w:val="735"/>
    <w:link w:val="76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6" w:customStyle="1">
    <w:name w:val="Caption Char"/>
    <w:basedOn w:val="736"/>
    <w:link w:val="765"/>
    <w:uiPriority w:val="35"/>
    <w:rPr>
      <w:b/>
      <w:bCs/>
      <w:color w:val="4f81bd" w:themeColor="accent1"/>
      <w:sz w:val="18"/>
      <w:szCs w:val="18"/>
    </w:rPr>
  </w:style>
  <w:style w:type="table" w:styleId="767" w:customStyle="1">
    <w:name w:val="Table Grid Light"/>
    <w:basedOn w:val="737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8" w:customStyle="1">
    <w:name w:val="Plain Table 1"/>
    <w:basedOn w:val="737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9" w:customStyle="1">
    <w:name w:val="Plain Table 2"/>
    <w:basedOn w:val="737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0" w:customStyle="1">
    <w:name w:val="Plain Table 3"/>
    <w:basedOn w:val="73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1" w:customStyle="1">
    <w:name w:val="Plain Table 4"/>
    <w:basedOn w:val="73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Plain Table 5"/>
    <w:basedOn w:val="73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1 Light"/>
    <w:basedOn w:val="737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1 Light - Accent 1"/>
    <w:basedOn w:val="737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Grid Table 1 Light - Accent 2"/>
    <w:basedOn w:val="737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Grid Table 1 Light - Accent 3"/>
    <w:basedOn w:val="737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Grid Table 1 Light - Accent 4"/>
    <w:basedOn w:val="737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Grid Table 1 Light - Accent 5"/>
    <w:basedOn w:val="737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Grid Table 1 Light - Accent 6"/>
    <w:basedOn w:val="737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Grid Table 2"/>
    <w:basedOn w:val="737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2 - Accent 1"/>
    <w:basedOn w:val="737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2 - Accent 2"/>
    <w:basedOn w:val="737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2 - Accent 3"/>
    <w:basedOn w:val="737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4"/>
    <w:basedOn w:val="737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2 - Accent 5"/>
    <w:basedOn w:val="737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2 - Accent 6"/>
    <w:basedOn w:val="737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"/>
    <w:basedOn w:val="737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3 - Accent 1"/>
    <w:basedOn w:val="737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3 - Accent 2"/>
    <w:basedOn w:val="737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 - Accent 3"/>
    <w:basedOn w:val="737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4"/>
    <w:basedOn w:val="737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3 - Accent 5"/>
    <w:basedOn w:val="737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3 - Accent 6"/>
    <w:basedOn w:val="737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4"/>
    <w:basedOn w:val="737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5" w:customStyle="1">
    <w:name w:val="Grid Table 4 - Accent 1"/>
    <w:basedOn w:val="737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96" w:customStyle="1">
    <w:name w:val="Grid Table 4 - Accent 2"/>
    <w:basedOn w:val="737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97" w:customStyle="1">
    <w:name w:val="Grid Table 4 - Accent 3"/>
    <w:basedOn w:val="737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98" w:customStyle="1">
    <w:name w:val="Grid Table 4 - Accent 4"/>
    <w:basedOn w:val="737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99" w:customStyle="1">
    <w:name w:val="Grid Table 4 - Accent 5"/>
    <w:basedOn w:val="737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00" w:customStyle="1">
    <w:name w:val="Grid Table 4 - Accent 6"/>
    <w:basedOn w:val="737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01" w:customStyle="1">
    <w:name w:val="Grid Table 5 Dark"/>
    <w:basedOn w:val="737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5 Dark- Accent 1"/>
    <w:basedOn w:val="737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5 Dark - Accent 2"/>
    <w:basedOn w:val="737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04" w:customStyle="1">
    <w:name w:val="Grid Table 5 Dark - Accent 3"/>
    <w:basedOn w:val="737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5 Dark- Accent 4"/>
    <w:basedOn w:val="737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06" w:customStyle="1">
    <w:name w:val="Grid Table 5 Dark - Accent 5"/>
    <w:basedOn w:val="737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07" w:customStyle="1">
    <w:name w:val="Grid Table 5 Dark - Accent 6"/>
    <w:basedOn w:val="737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08" w:customStyle="1">
    <w:name w:val="Grid Table 6 Colorful"/>
    <w:basedOn w:val="737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9" w:customStyle="1">
    <w:name w:val="Grid Table 6 Colorful - Accent 1"/>
    <w:basedOn w:val="737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10" w:customStyle="1">
    <w:name w:val="Grid Table 6 Colorful - Accent 2"/>
    <w:basedOn w:val="737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11" w:customStyle="1">
    <w:name w:val="Grid Table 6 Colorful - Accent 3"/>
    <w:basedOn w:val="737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12" w:customStyle="1">
    <w:name w:val="Grid Table 6 Colorful - Accent 4"/>
    <w:basedOn w:val="737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13" w:customStyle="1">
    <w:name w:val="Grid Table 6 Colorful - Accent 5"/>
    <w:basedOn w:val="737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4" w:customStyle="1">
    <w:name w:val="Grid Table 6 Colorful - Accent 6"/>
    <w:basedOn w:val="737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5" w:customStyle="1">
    <w:name w:val="Grid Table 7 Colorful"/>
    <w:basedOn w:val="737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Grid Table 7 Colorful - Accent 1"/>
    <w:basedOn w:val="737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Grid Table 7 Colorful - Accent 2"/>
    <w:basedOn w:val="737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Grid Table 7 Colorful - Accent 3"/>
    <w:basedOn w:val="737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Grid Table 7 Colorful - Accent 4"/>
    <w:basedOn w:val="737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Grid Table 7 Colorful - Accent 5"/>
    <w:basedOn w:val="737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1" w:customStyle="1">
    <w:name w:val="Grid Table 7 Colorful - Accent 6"/>
    <w:basedOn w:val="737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2" w:customStyle="1">
    <w:name w:val="List Table 1 Light"/>
    <w:basedOn w:val="73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1 Light - Accent 1"/>
    <w:basedOn w:val="73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2"/>
    <w:basedOn w:val="73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3"/>
    <w:basedOn w:val="73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4"/>
    <w:basedOn w:val="73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1 Light - Accent 5"/>
    <w:basedOn w:val="73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1 Light - Accent 6"/>
    <w:basedOn w:val="73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2"/>
    <w:basedOn w:val="737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0" w:customStyle="1">
    <w:name w:val="List Table 2 - Accent 1"/>
    <w:basedOn w:val="737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31" w:customStyle="1">
    <w:name w:val="List Table 2 - Accent 2"/>
    <w:basedOn w:val="737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32" w:customStyle="1">
    <w:name w:val="List Table 2 - Accent 3"/>
    <w:basedOn w:val="737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33" w:customStyle="1">
    <w:name w:val="List Table 2 - Accent 4"/>
    <w:basedOn w:val="737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34" w:customStyle="1">
    <w:name w:val="List Table 2 - Accent 5"/>
    <w:basedOn w:val="737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35" w:customStyle="1">
    <w:name w:val="List Table 2 - Accent 6"/>
    <w:basedOn w:val="737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36" w:customStyle="1">
    <w:name w:val="List Table 3"/>
    <w:basedOn w:val="737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3 - Accent 1"/>
    <w:basedOn w:val="737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3 - Accent 2"/>
    <w:basedOn w:val="737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3 - Accent 3"/>
    <w:basedOn w:val="737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3 - Accent 4"/>
    <w:basedOn w:val="737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3 - Accent 5"/>
    <w:basedOn w:val="737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3 - Accent 6"/>
    <w:basedOn w:val="737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"/>
    <w:basedOn w:val="737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4 - Accent 1"/>
    <w:basedOn w:val="737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4 - Accent 2"/>
    <w:basedOn w:val="737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4 - Accent 3"/>
    <w:basedOn w:val="737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4 - Accent 4"/>
    <w:basedOn w:val="737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4 - Accent 5"/>
    <w:basedOn w:val="737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4 - Accent 6"/>
    <w:basedOn w:val="737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5 Dark"/>
    <w:basedOn w:val="737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1" w:customStyle="1">
    <w:name w:val="List Table 5 Dark - Accent 1"/>
    <w:basedOn w:val="737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2" w:customStyle="1">
    <w:name w:val="List Table 5 Dark - Accent 2"/>
    <w:basedOn w:val="737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3" w:customStyle="1">
    <w:name w:val="List Table 5 Dark - Accent 3"/>
    <w:basedOn w:val="737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4" w:customStyle="1">
    <w:name w:val="List Table 5 Dark - Accent 4"/>
    <w:basedOn w:val="737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5" w:customStyle="1">
    <w:name w:val="List Table 5 Dark - Accent 5"/>
    <w:basedOn w:val="737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6" w:customStyle="1">
    <w:name w:val="List Table 5 Dark - Accent 6"/>
    <w:basedOn w:val="737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7" w:customStyle="1">
    <w:name w:val="List Table 6 Colorful"/>
    <w:basedOn w:val="737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8" w:customStyle="1">
    <w:name w:val="List Table 6 Colorful - Accent 1"/>
    <w:basedOn w:val="737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59" w:customStyle="1">
    <w:name w:val="List Table 6 Colorful - Accent 2"/>
    <w:basedOn w:val="737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60" w:customStyle="1">
    <w:name w:val="List Table 6 Colorful - Accent 3"/>
    <w:basedOn w:val="737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61" w:customStyle="1">
    <w:name w:val="List Table 6 Colorful - Accent 4"/>
    <w:basedOn w:val="737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62" w:customStyle="1">
    <w:name w:val="List Table 6 Colorful - Accent 5"/>
    <w:basedOn w:val="737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63" w:customStyle="1">
    <w:name w:val="List Table 6 Colorful - Accent 6"/>
    <w:basedOn w:val="737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64" w:customStyle="1">
    <w:name w:val="List Table 7 Colorful"/>
    <w:basedOn w:val="737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5" w:customStyle="1">
    <w:name w:val="List Table 7 Colorful - Accent 1"/>
    <w:basedOn w:val="737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6" w:customStyle="1">
    <w:name w:val="List Table 7 Colorful - Accent 2"/>
    <w:basedOn w:val="737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7" w:customStyle="1">
    <w:name w:val="List Table 7 Colorful - Accent 3"/>
    <w:basedOn w:val="737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8" w:customStyle="1">
    <w:name w:val="List Table 7 Colorful - Accent 4"/>
    <w:basedOn w:val="737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9" w:customStyle="1">
    <w:name w:val="List Table 7 Colorful - Accent 5"/>
    <w:basedOn w:val="737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0" w:customStyle="1">
    <w:name w:val="List Table 7 Colorful - Accent 6"/>
    <w:basedOn w:val="737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1" w:customStyle="1">
    <w:name w:val="Lined - Accent"/>
    <w:basedOn w:val="737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2" w:customStyle="1">
    <w:name w:val="Lined - Accent 1"/>
    <w:basedOn w:val="737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3" w:customStyle="1">
    <w:name w:val="Lined - Accent 2"/>
    <w:basedOn w:val="737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4" w:customStyle="1">
    <w:name w:val="Lined - Accent 3"/>
    <w:basedOn w:val="737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5" w:customStyle="1">
    <w:name w:val="Lined - Accent 4"/>
    <w:basedOn w:val="737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6" w:customStyle="1">
    <w:name w:val="Lined - Accent 5"/>
    <w:basedOn w:val="737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7" w:customStyle="1">
    <w:name w:val="Lined - Accent 6"/>
    <w:basedOn w:val="737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8" w:customStyle="1">
    <w:name w:val="Bordered &amp; Lined - Accent"/>
    <w:basedOn w:val="737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9" w:customStyle="1">
    <w:name w:val="Bordered &amp; Lined - Accent 1"/>
    <w:basedOn w:val="737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0" w:customStyle="1">
    <w:name w:val="Bordered &amp; Lined - Accent 2"/>
    <w:basedOn w:val="737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1" w:customStyle="1">
    <w:name w:val="Bordered &amp; Lined - Accent 3"/>
    <w:basedOn w:val="737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2" w:customStyle="1">
    <w:name w:val="Bordered &amp; Lined - Accent 4"/>
    <w:basedOn w:val="737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3" w:customStyle="1">
    <w:name w:val="Bordered &amp; Lined - Accent 5"/>
    <w:basedOn w:val="737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4" w:customStyle="1">
    <w:name w:val="Bordered &amp; Lined - Accent 6"/>
    <w:basedOn w:val="737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5" w:customStyle="1">
    <w:name w:val="Bordered"/>
    <w:basedOn w:val="737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6" w:customStyle="1">
    <w:name w:val="Bordered - Accent 1"/>
    <w:basedOn w:val="737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7" w:customStyle="1">
    <w:name w:val="Bordered - Accent 2"/>
    <w:basedOn w:val="737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88" w:customStyle="1">
    <w:name w:val="Bordered - Accent 3"/>
    <w:basedOn w:val="737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89" w:customStyle="1">
    <w:name w:val="Bordered - Accent 4"/>
    <w:basedOn w:val="737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90" w:customStyle="1">
    <w:name w:val="Bordered - Accent 5"/>
    <w:basedOn w:val="737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91" w:customStyle="1">
    <w:name w:val="Bordered - Accent 6"/>
    <w:basedOn w:val="737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92">
    <w:name w:val="footnote text"/>
    <w:basedOn w:val="735"/>
    <w:link w:val="893"/>
    <w:uiPriority w:val="99"/>
    <w:semiHidden/>
    <w:unhideWhenUsed/>
    <w:pPr>
      <w:spacing w:after="40"/>
    </w:pPr>
    <w:rPr>
      <w:sz w:val="18"/>
    </w:rPr>
  </w:style>
  <w:style w:type="character" w:styleId="893" w:customStyle="1">
    <w:name w:val="Текст сноски Знак"/>
    <w:link w:val="892"/>
    <w:uiPriority w:val="99"/>
    <w:rPr>
      <w:sz w:val="18"/>
    </w:rPr>
  </w:style>
  <w:style w:type="character" w:styleId="894">
    <w:name w:val="footnote reference"/>
    <w:basedOn w:val="736"/>
    <w:uiPriority w:val="99"/>
    <w:unhideWhenUsed/>
    <w:rPr>
      <w:vertAlign w:val="superscript"/>
    </w:rPr>
  </w:style>
  <w:style w:type="paragraph" w:styleId="895">
    <w:name w:val="endnote text"/>
    <w:basedOn w:val="735"/>
    <w:link w:val="896"/>
    <w:uiPriority w:val="99"/>
    <w:semiHidden/>
    <w:unhideWhenUsed/>
    <w:rPr>
      <w:sz w:val="20"/>
    </w:rPr>
  </w:style>
  <w:style w:type="character" w:styleId="896" w:customStyle="1">
    <w:name w:val="Текст концевой сноски Знак"/>
    <w:link w:val="895"/>
    <w:uiPriority w:val="99"/>
    <w:rPr>
      <w:sz w:val="20"/>
    </w:rPr>
  </w:style>
  <w:style w:type="character" w:styleId="897">
    <w:name w:val="endnote reference"/>
    <w:basedOn w:val="736"/>
    <w:uiPriority w:val="99"/>
    <w:semiHidden/>
    <w:unhideWhenUsed/>
    <w:rPr>
      <w:vertAlign w:val="superscript"/>
    </w:rPr>
  </w:style>
  <w:style w:type="paragraph" w:styleId="898">
    <w:name w:val="toc 1"/>
    <w:basedOn w:val="735"/>
    <w:next w:val="735"/>
    <w:uiPriority w:val="39"/>
    <w:unhideWhenUsed/>
    <w:pPr>
      <w:spacing w:after="57"/>
    </w:pPr>
  </w:style>
  <w:style w:type="paragraph" w:styleId="899">
    <w:name w:val="toc 2"/>
    <w:basedOn w:val="735"/>
    <w:next w:val="735"/>
    <w:uiPriority w:val="39"/>
    <w:unhideWhenUsed/>
    <w:pPr>
      <w:ind w:left="283"/>
      <w:spacing w:after="57"/>
    </w:pPr>
  </w:style>
  <w:style w:type="paragraph" w:styleId="900">
    <w:name w:val="toc 3"/>
    <w:basedOn w:val="735"/>
    <w:next w:val="735"/>
    <w:uiPriority w:val="39"/>
    <w:unhideWhenUsed/>
    <w:pPr>
      <w:ind w:left="567"/>
      <w:spacing w:after="57"/>
    </w:pPr>
  </w:style>
  <w:style w:type="paragraph" w:styleId="901">
    <w:name w:val="toc 4"/>
    <w:basedOn w:val="735"/>
    <w:next w:val="735"/>
    <w:uiPriority w:val="39"/>
    <w:unhideWhenUsed/>
    <w:pPr>
      <w:ind w:left="850"/>
      <w:spacing w:after="57"/>
    </w:pPr>
  </w:style>
  <w:style w:type="paragraph" w:styleId="902">
    <w:name w:val="toc 5"/>
    <w:basedOn w:val="735"/>
    <w:next w:val="735"/>
    <w:uiPriority w:val="39"/>
    <w:unhideWhenUsed/>
    <w:pPr>
      <w:ind w:left="1134"/>
      <w:spacing w:after="57"/>
    </w:pPr>
  </w:style>
  <w:style w:type="paragraph" w:styleId="903">
    <w:name w:val="toc 6"/>
    <w:basedOn w:val="735"/>
    <w:next w:val="735"/>
    <w:uiPriority w:val="39"/>
    <w:unhideWhenUsed/>
    <w:pPr>
      <w:ind w:left="1417"/>
      <w:spacing w:after="57"/>
    </w:pPr>
  </w:style>
  <w:style w:type="paragraph" w:styleId="904">
    <w:name w:val="toc 7"/>
    <w:basedOn w:val="735"/>
    <w:next w:val="735"/>
    <w:uiPriority w:val="39"/>
    <w:unhideWhenUsed/>
    <w:pPr>
      <w:ind w:left="1701"/>
      <w:spacing w:after="57"/>
    </w:pPr>
  </w:style>
  <w:style w:type="paragraph" w:styleId="905">
    <w:name w:val="toc 8"/>
    <w:basedOn w:val="735"/>
    <w:next w:val="735"/>
    <w:uiPriority w:val="39"/>
    <w:unhideWhenUsed/>
    <w:pPr>
      <w:ind w:left="1984"/>
      <w:spacing w:after="57"/>
    </w:pPr>
  </w:style>
  <w:style w:type="paragraph" w:styleId="906">
    <w:name w:val="toc 9"/>
    <w:basedOn w:val="735"/>
    <w:next w:val="735"/>
    <w:uiPriority w:val="39"/>
    <w:unhideWhenUsed/>
    <w:pPr>
      <w:ind w:left="2268"/>
      <w:spacing w:after="57"/>
    </w:pPr>
  </w:style>
  <w:style w:type="paragraph" w:styleId="907">
    <w:name w:val="TOC Heading"/>
    <w:uiPriority w:val="39"/>
    <w:unhideWhenUsed/>
  </w:style>
  <w:style w:type="paragraph" w:styleId="908">
    <w:name w:val="table of figures"/>
    <w:basedOn w:val="735"/>
    <w:next w:val="735"/>
    <w:uiPriority w:val="99"/>
    <w:unhideWhenUsed/>
  </w:style>
  <w:style w:type="paragraph" w:styleId="909" w:customStyle="1">
    <w:name w:val="Heading 1"/>
    <w:basedOn w:val="735"/>
    <w:next w:val="735"/>
    <w:link w:val="976"/>
    <w:qFormat/>
    <w:pPr>
      <w:jc w:val="center"/>
      <w:keepNext/>
      <w:widowControl/>
      <w:outlineLvl w:val="0"/>
    </w:pPr>
    <w:rPr>
      <w:rFonts w:ascii="Times New Roman" w:hAnsi="Times New Roman" w:eastAsia="Times New Roman" w:cs="Times New Roman"/>
      <w:color w:val="auto"/>
      <w:sz w:val="28"/>
      <w:szCs w:val="20"/>
    </w:rPr>
  </w:style>
  <w:style w:type="paragraph" w:styleId="910" w:customStyle="1">
    <w:name w:val="Heading 2"/>
    <w:basedOn w:val="735"/>
    <w:next w:val="735"/>
    <w:link w:val="980"/>
    <w:uiPriority w:val="9"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911">
    <w:name w:val="Hyperlink"/>
    <w:basedOn w:val="736"/>
    <w:rPr>
      <w:color w:val="0066cc"/>
      <w:u w:val="single"/>
    </w:rPr>
  </w:style>
  <w:style w:type="character" w:styleId="912" w:customStyle="1">
    <w:name w:val="Основной текст_"/>
    <w:basedOn w:val="736"/>
    <w:link w:val="952"/>
    <w:rPr>
      <w:rFonts w:ascii="Arial" w:hAnsi="Arial" w:eastAsia="Arial" w:cs="Arial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styleId="913" w:customStyle="1">
    <w:name w:val="Колонтитул_"/>
    <w:basedOn w:val="736"/>
    <w:link w:val="953"/>
    <w:rPr>
      <w:rFonts w:ascii="Franklin Gothic Heavy" w:hAnsi="Franklin Gothic Heavy" w:eastAsia="Franklin Gothic Heavy" w:cs="Franklin Gothic Heavy"/>
      <w:b/>
      <w:bCs/>
      <w:i w:val="0"/>
      <w:iCs w:val="0"/>
      <w:smallCaps w:val="0"/>
      <w:strike w:val="0"/>
      <w:sz w:val="17"/>
      <w:szCs w:val="17"/>
      <w:u w:val="none"/>
    </w:rPr>
  </w:style>
  <w:style w:type="character" w:styleId="914" w:customStyle="1">
    <w:name w:val="Колонтитул"/>
    <w:basedOn w:val="913"/>
    <w:rPr>
      <w:rFonts w:ascii="Franklin Gothic Heavy" w:hAnsi="Franklin Gothic Heavy" w:eastAsia="Franklin Gothic Heavy" w:cs="Franklin Gothic Heavy"/>
      <w:b/>
      <w:bCs/>
      <w:i w:val="0"/>
      <w:iCs w:val="0"/>
      <w:smallCaps w:val="0"/>
      <w:strike w:val="0"/>
      <w:color w:val="000000"/>
      <w:spacing w:val="0"/>
      <w:position w:val="0"/>
      <w:sz w:val="17"/>
      <w:szCs w:val="17"/>
      <w:u w:val="none"/>
      <w:lang w:val="ru-RU"/>
    </w:rPr>
  </w:style>
  <w:style w:type="character" w:styleId="915" w:customStyle="1">
    <w:name w:val="Основной текст (2)_"/>
    <w:basedOn w:val="736"/>
    <w:link w:val="954"/>
    <w:rPr>
      <w:rFonts w:ascii="Arial" w:hAnsi="Arial" w:eastAsia="Arial" w:cs="Arial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styleId="916" w:customStyle="1">
    <w:name w:val="Основной текст (3)_"/>
    <w:basedOn w:val="736"/>
    <w:link w:val="955"/>
    <w:rPr>
      <w:rFonts w:ascii="Arial" w:hAnsi="Arial" w:eastAsia="Arial" w:cs="Arial"/>
      <w:b/>
      <w:bCs/>
      <w:i/>
      <w:iCs/>
      <w:smallCaps w:val="0"/>
      <w:strike w:val="0"/>
      <w:spacing w:val="-10"/>
      <w:sz w:val="17"/>
      <w:szCs w:val="17"/>
      <w:u w:val="none"/>
    </w:rPr>
  </w:style>
  <w:style w:type="character" w:styleId="917" w:customStyle="1">
    <w:name w:val="Основной текст (4)_"/>
    <w:basedOn w:val="736"/>
    <w:link w:val="956"/>
    <w:rPr>
      <w:rFonts w:ascii="Arial" w:hAnsi="Arial" w:eastAsia="Arial" w:cs="Arial"/>
      <w:b w:val="0"/>
      <w:bCs w:val="0"/>
      <w:i/>
      <w:iCs/>
      <w:smallCaps w:val="0"/>
      <w:strike w:val="0"/>
      <w:spacing w:val="-10"/>
      <w:sz w:val="17"/>
      <w:szCs w:val="17"/>
      <w:u w:val="none"/>
    </w:rPr>
  </w:style>
  <w:style w:type="character" w:styleId="918" w:customStyle="1">
    <w:name w:val="Заголовок №1_"/>
    <w:basedOn w:val="736"/>
    <w:link w:val="957"/>
    <w:rPr>
      <w:rFonts w:ascii="Arial" w:hAnsi="Arial" w:eastAsia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styleId="919" w:customStyle="1">
    <w:name w:val="Основной текст (5)_"/>
    <w:basedOn w:val="736"/>
    <w:link w:val="958"/>
    <w:rPr>
      <w:rFonts w:ascii="Franklin Gothic Heavy" w:hAnsi="Franklin Gothic Heavy" w:eastAsia="Franklin Gothic Heavy" w:cs="Franklin Gothic Heavy"/>
      <w:b w:val="0"/>
      <w:bCs w:val="0"/>
      <w:i/>
      <w:iCs/>
      <w:smallCaps w:val="0"/>
      <w:strike w:val="0"/>
      <w:spacing w:val="-10"/>
      <w:sz w:val="13"/>
      <w:szCs w:val="13"/>
      <w:u w:val="none"/>
    </w:rPr>
  </w:style>
  <w:style w:type="character" w:styleId="920" w:customStyle="1">
    <w:name w:val="Основной текст (5) + Arial;7;5 pt;Полужирный;Не курсив;Интервал 0 pt"/>
    <w:basedOn w:val="919"/>
    <w:rPr>
      <w:rFonts w:ascii="Arial" w:hAnsi="Arial" w:eastAsia="Arial" w:cs="Arial"/>
      <w:b/>
      <w:bCs/>
      <w:i/>
      <w:iCs/>
      <w:smallCaps w:val="0"/>
      <w:strike w:val="0"/>
      <w:color w:val="000000"/>
      <w:spacing w:val="0"/>
      <w:position w:val="0"/>
      <w:sz w:val="15"/>
      <w:szCs w:val="15"/>
      <w:u w:val="none"/>
      <w:lang w:val="ru-RU"/>
    </w:rPr>
  </w:style>
  <w:style w:type="character" w:styleId="921" w:customStyle="1">
    <w:name w:val="Основной текст (6)_"/>
    <w:basedOn w:val="736"/>
    <w:link w:val="959"/>
    <w:rPr>
      <w:rFonts w:ascii="Arial" w:hAnsi="Arial" w:eastAsia="Arial" w:cs="Arial"/>
      <w:b w:val="0"/>
      <w:bCs w:val="0"/>
      <w:i w:val="0"/>
      <w:iCs w:val="0"/>
      <w:smallCaps w:val="0"/>
      <w:strike w:val="0"/>
      <w:spacing w:val="-10"/>
      <w:sz w:val="16"/>
      <w:szCs w:val="16"/>
      <w:u w:val="none"/>
    </w:rPr>
  </w:style>
  <w:style w:type="character" w:styleId="922" w:customStyle="1">
    <w:name w:val="Основной текст (6)"/>
    <w:basedOn w:val="921"/>
    <w:rPr>
      <w:rFonts w:ascii="Arial" w:hAnsi="Arial" w:eastAsia="Arial" w:cs="Arial"/>
      <w:b w:val="0"/>
      <w:bCs w:val="0"/>
      <w:i w:val="0"/>
      <w:iCs w:val="0"/>
      <w:smallCaps w:val="0"/>
      <w:strike w:val="0"/>
      <w:color w:val="000000"/>
      <w:spacing w:val="-10"/>
      <w:position w:val="0"/>
      <w:sz w:val="16"/>
      <w:szCs w:val="16"/>
      <w:u w:val="single"/>
      <w:lang w:val="ru-RU"/>
    </w:rPr>
  </w:style>
  <w:style w:type="character" w:styleId="923" w:customStyle="1">
    <w:name w:val="Основной текст + Полужирный;Курсив"/>
    <w:basedOn w:val="912"/>
    <w:rPr>
      <w:rFonts w:ascii="Arial" w:hAnsi="Arial" w:eastAsia="Arial" w:cs="Arial"/>
      <w:b/>
      <w:bCs/>
      <w:i/>
      <w:iCs/>
      <w:smallCaps w:val="0"/>
      <w:strike w:val="0"/>
      <w:color w:val="000000"/>
      <w:spacing w:val="-10"/>
      <w:position w:val="0"/>
      <w:sz w:val="17"/>
      <w:szCs w:val="17"/>
      <w:u w:val="none"/>
      <w:lang w:val="ru-RU"/>
    </w:rPr>
  </w:style>
  <w:style w:type="character" w:styleId="924" w:customStyle="1">
    <w:name w:val="Основной текст + Курсив"/>
    <w:basedOn w:val="912"/>
    <w:rPr>
      <w:rFonts w:ascii="Arial" w:hAnsi="Arial" w:eastAsia="Arial" w:cs="Arial"/>
      <w:b w:val="0"/>
      <w:bCs w:val="0"/>
      <w:i/>
      <w:iCs/>
      <w:smallCaps w:val="0"/>
      <w:strike w:val="0"/>
      <w:color w:val="000000"/>
      <w:spacing w:val="-10"/>
      <w:position w:val="0"/>
      <w:sz w:val="17"/>
      <w:szCs w:val="17"/>
      <w:u w:val="none"/>
      <w:lang w:val="ru-RU"/>
    </w:rPr>
  </w:style>
  <w:style w:type="character" w:styleId="925" w:customStyle="1">
    <w:name w:val="Основной текст + 6 pt;Полужирный;Интервал 0 pt"/>
    <w:basedOn w:val="912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12"/>
      <w:szCs w:val="12"/>
      <w:u w:val="none"/>
      <w:lang w:val="ru-RU"/>
    </w:rPr>
  </w:style>
  <w:style w:type="character" w:styleId="926" w:customStyle="1">
    <w:name w:val="Основной текст (4) + 8 pt;Полужирный;Не курсив;Интервал 0 pt"/>
    <w:basedOn w:val="917"/>
    <w:rPr>
      <w:rFonts w:ascii="Arial" w:hAnsi="Arial" w:eastAsia="Arial" w:cs="Arial"/>
      <w:b/>
      <w:bCs/>
      <w:i/>
      <w:iCs/>
      <w:smallCaps w:val="0"/>
      <w:strike w:val="0"/>
      <w:color w:val="000000"/>
      <w:spacing w:val="0"/>
      <w:position w:val="0"/>
      <w:sz w:val="16"/>
      <w:szCs w:val="16"/>
      <w:u w:val="none"/>
    </w:rPr>
  </w:style>
  <w:style w:type="character" w:styleId="927" w:customStyle="1">
    <w:name w:val="Основной текст (4) + 6 pt;Полужирный;Не курсив;Интервал 0 pt"/>
    <w:basedOn w:val="917"/>
    <w:rPr>
      <w:rFonts w:ascii="Arial" w:hAnsi="Arial" w:eastAsia="Arial" w:cs="Arial"/>
      <w:b/>
      <w:bCs/>
      <w:i/>
      <w:iCs/>
      <w:smallCaps w:val="0"/>
      <w:strike w:val="0"/>
      <w:color w:val="000000"/>
      <w:spacing w:val="0"/>
      <w:position w:val="0"/>
      <w:sz w:val="12"/>
      <w:szCs w:val="12"/>
      <w:u w:val="none"/>
      <w:lang w:val="ru-RU"/>
    </w:rPr>
  </w:style>
  <w:style w:type="character" w:styleId="928" w:customStyle="1">
    <w:name w:val="Основной текст (7)_"/>
    <w:basedOn w:val="736"/>
    <w:link w:val="960"/>
    <w:rPr>
      <w:rFonts w:ascii="Verdana" w:hAnsi="Verdana" w:eastAsia="Verdana" w:cs="Verdana"/>
      <w:b/>
      <w:bCs/>
      <w:i w:val="0"/>
      <w:iCs w:val="0"/>
      <w:smallCaps w:val="0"/>
      <w:strike w:val="0"/>
      <w:sz w:val="12"/>
      <w:szCs w:val="12"/>
      <w:u w:val="none"/>
    </w:rPr>
  </w:style>
  <w:style w:type="character" w:styleId="929" w:customStyle="1">
    <w:name w:val="Основной текст1"/>
    <w:basedOn w:val="912"/>
    <w:rPr>
      <w:rFonts w:ascii="Arial" w:hAnsi="Arial" w:eastAsia="Arial" w:cs="Arial"/>
      <w:b w:val="0"/>
      <w:bCs w:val="0"/>
      <w:i w:val="0"/>
      <w:iCs w:val="0"/>
      <w:smallCaps w:val="0"/>
      <w:strike w:val="0"/>
      <w:color w:val="000000"/>
      <w:spacing w:val="-10"/>
      <w:position w:val="0"/>
      <w:sz w:val="17"/>
      <w:szCs w:val="17"/>
      <w:u w:val="single"/>
      <w:lang w:val="ru-RU"/>
    </w:rPr>
  </w:style>
  <w:style w:type="character" w:styleId="930" w:customStyle="1">
    <w:name w:val="Основной текст (6) + 8;5 pt;Курсив;Интервал 0 pt"/>
    <w:basedOn w:val="921"/>
    <w:rPr>
      <w:rFonts w:ascii="Arial" w:hAnsi="Arial" w:eastAsia="Arial" w:cs="Arial"/>
      <w:b w:val="0"/>
      <w:bCs w:val="0"/>
      <w:i/>
      <w:iCs/>
      <w:smallCaps w:val="0"/>
      <w:strike w:val="0"/>
      <w:color w:val="000000"/>
      <w:spacing w:val="0"/>
      <w:position w:val="0"/>
      <w:sz w:val="17"/>
      <w:szCs w:val="17"/>
      <w:u w:val="none"/>
      <w:lang w:val="ru-RU"/>
    </w:rPr>
  </w:style>
  <w:style w:type="character" w:styleId="931" w:customStyle="1">
    <w:name w:val="Колонтитул + MS Gothic;7;5 pt;Не полужирный"/>
    <w:basedOn w:val="913"/>
    <w:rPr>
      <w:rFonts w:ascii="MS Gothic" w:hAnsi="MS Gothic" w:eastAsia="MS Gothic" w:cs="MS Gothic"/>
      <w:b/>
      <w:bCs/>
      <w:i w:val="0"/>
      <w:iCs w:val="0"/>
      <w:smallCaps w:val="0"/>
      <w:strike w:val="0"/>
      <w:color w:val="000000"/>
      <w:spacing w:val="0"/>
      <w:position w:val="0"/>
      <w:sz w:val="15"/>
      <w:szCs w:val="15"/>
      <w:u w:val="none"/>
      <w:lang w:val="ru-RU"/>
    </w:rPr>
  </w:style>
  <w:style w:type="character" w:styleId="932" w:customStyle="1">
    <w:name w:val="Колонтитул + Arial;4 pt"/>
    <w:basedOn w:val="913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8"/>
      <w:szCs w:val="8"/>
      <w:u w:val="none"/>
    </w:rPr>
  </w:style>
  <w:style w:type="character" w:styleId="933" w:customStyle="1">
    <w:name w:val="Основной текст (4) + Не курсив"/>
    <w:basedOn w:val="917"/>
    <w:rPr>
      <w:rFonts w:ascii="Arial" w:hAnsi="Arial" w:eastAsia="Arial" w:cs="Arial"/>
      <w:b w:val="0"/>
      <w:bCs w:val="0"/>
      <w:i/>
      <w:iCs/>
      <w:smallCaps w:val="0"/>
      <w:strike w:val="0"/>
      <w:color w:val="000000"/>
      <w:spacing w:val="-10"/>
      <w:position w:val="0"/>
      <w:sz w:val="17"/>
      <w:szCs w:val="17"/>
      <w:u w:val="none"/>
      <w:lang w:val="ru-RU"/>
    </w:rPr>
  </w:style>
  <w:style w:type="character" w:styleId="934" w:customStyle="1">
    <w:name w:val="Основной текст (8)_"/>
    <w:basedOn w:val="736"/>
    <w:link w:val="961"/>
    <w:rPr>
      <w:rFonts w:ascii="Arial" w:hAnsi="Arial" w:eastAsia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styleId="935" w:customStyle="1">
    <w:name w:val="Основной текст (3) + Не курсив;Интервал 0 pt"/>
    <w:basedOn w:val="916"/>
    <w:rPr>
      <w:rFonts w:ascii="Arial" w:hAnsi="Arial" w:eastAsia="Arial" w:cs="Arial"/>
      <w:b/>
      <w:bCs/>
      <w:i/>
      <w:iCs/>
      <w:smallCaps w:val="0"/>
      <w:strike w:val="0"/>
      <w:color w:val="000000"/>
      <w:spacing w:val="0"/>
      <w:position w:val="0"/>
      <w:sz w:val="17"/>
      <w:szCs w:val="17"/>
      <w:u w:val="none"/>
      <w:lang w:val="ru-RU"/>
    </w:rPr>
  </w:style>
  <w:style w:type="character" w:styleId="936" w:customStyle="1">
    <w:name w:val="Основной текст (9)_"/>
    <w:basedOn w:val="736"/>
    <w:link w:val="962"/>
    <w:rPr>
      <w:rFonts w:ascii="Arial" w:hAnsi="Arial" w:eastAsia="Arial" w:cs="Arial"/>
      <w:b/>
      <w:bCs/>
      <w:i/>
      <w:iCs/>
      <w:smallCaps w:val="0"/>
      <w:strike w:val="0"/>
      <w:sz w:val="15"/>
      <w:szCs w:val="15"/>
      <w:u w:val="none"/>
    </w:rPr>
  </w:style>
  <w:style w:type="character" w:styleId="937" w:customStyle="1">
    <w:name w:val="Основной текст (10)_"/>
    <w:basedOn w:val="736"/>
    <w:link w:val="963"/>
    <w:rPr>
      <w:rFonts w:ascii="MS Gothic" w:hAnsi="MS Gothic" w:eastAsia="MS Gothic" w:cs="MS Gothic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styleId="938" w:customStyle="1">
    <w:name w:val="Основной текст (4) + Полужирный"/>
    <w:basedOn w:val="917"/>
    <w:rPr>
      <w:rFonts w:ascii="Arial" w:hAnsi="Arial" w:eastAsia="Arial" w:cs="Arial"/>
      <w:b/>
      <w:bCs/>
      <w:i/>
      <w:iCs/>
      <w:smallCaps w:val="0"/>
      <w:strike w:val="0"/>
      <w:color w:val="000000"/>
      <w:spacing w:val="-10"/>
      <w:position w:val="0"/>
      <w:sz w:val="17"/>
      <w:szCs w:val="17"/>
      <w:u w:val="none"/>
      <w:lang w:val="ru-RU"/>
    </w:rPr>
  </w:style>
  <w:style w:type="character" w:styleId="939" w:customStyle="1">
    <w:name w:val="Основной текст (3) + Не полужирный;Не курсив"/>
    <w:basedOn w:val="916"/>
    <w:rPr>
      <w:rFonts w:ascii="Arial" w:hAnsi="Arial" w:eastAsia="Arial" w:cs="Arial"/>
      <w:b/>
      <w:bCs/>
      <w:i/>
      <w:iCs/>
      <w:smallCaps w:val="0"/>
      <w:strike w:val="0"/>
      <w:color w:val="000000"/>
      <w:spacing w:val="-10"/>
      <w:position w:val="0"/>
      <w:sz w:val="17"/>
      <w:szCs w:val="17"/>
      <w:u w:val="none"/>
      <w:lang w:val="ru-RU"/>
    </w:rPr>
  </w:style>
  <w:style w:type="character" w:styleId="940" w:customStyle="1">
    <w:name w:val="Основной текст + 8 pt"/>
    <w:basedOn w:val="912"/>
    <w:rPr>
      <w:rFonts w:ascii="Arial" w:hAnsi="Arial" w:eastAsia="Arial" w:cs="Arial"/>
      <w:b w:val="0"/>
      <w:bCs w:val="0"/>
      <w:i w:val="0"/>
      <w:iCs w:val="0"/>
      <w:smallCaps w:val="0"/>
      <w:strike w:val="0"/>
      <w:color w:val="000000"/>
      <w:spacing w:val="-10"/>
      <w:position w:val="0"/>
      <w:sz w:val="16"/>
      <w:szCs w:val="16"/>
      <w:u w:val="none"/>
      <w:lang w:val="ru-RU"/>
    </w:rPr>
  </w:style>
  <w:style w:type="character" w:styleId="941" w:customStyle="1">
    <w:name w:val="Основной текст + Полужирный;Курсив;Интервал -1 pt"/>
    <w:basedOn w:val="912"/>
    <w:rPr>
      <w:rFonts w:ascii="Arial" w:hAnsi="Arial" w:eastAsia="Arial" w:cs="Arial"/>
      <w:b/>
      <w:bCs/>
      <w:i/>
      <w:iCs/>
      <w:smallCaps w:val="0"/>
      <w:strike w:val="0"/>
      <w:color w:val="000000"/>
      <w:spacing w:val="-30"/>
      <w:position w:val="0"/>
      <w:sz w:val="17"/>
      <w:szCs w:val="17"/>
      <w:u w:val="none"/>
      <w:lang w:val="ru-RU"/>
    </w:rPr>
  </w:style>
  <w:style w:type="character" w:styleId="942" w:customStyle="1">
    <w:name w:val="Основной текст (11)_"/>
    <w:basedOn w:val="736"/>
    <w:link w:val="964"/>
    <w:rPr>
      <w:rFonts w:ascii="Franklin Gothic Heavy" w:hAnsi="Franklin Gothic Heavy" w:eastAsia="Franklin Gothic Heavy" w:cs="Franklin Gothic Heavy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styleId="943" w:customStyle="1">
    <w:name w:val="Основной текст (12)_"/>
    <w:basedOn w:val="736"/>
    <w:link w:val="965"/>
    <w:rPr>
      <w:rFonts w:ascii="Franklin Gothic Heavy" w:hAnsi="Franklin Gothic Heavy" w:eastAsia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  <w:lang w:val="en-US"/>
    </w:rPr>
  </w:style>
  <w:style w:type="character" w:styleId="944" w:customStyle="1">
    <w:name w:val="Основной текст (12)"/>
    <w:basedOn w:val="943"/>
    <w:rPr>
      <w:rFonts w:ascii="Franklin Gothic Heavy" w:hAnsi="Franklin Gothic Heavy" w:eastAsia="Franklin Gothic Heavy" w:cs="Franklin Gothic Heavy"/>
      <w:b w:val="0"/>
      <w:bCs w:val="0"/>
      <w:i w:val="0"/>
      <w:iCs w:val="0"/>
      <w:smallCaps w:val="0"/>
      <w:strike/>
      <w:color w:val="000000"/>
      <w:spacing w:val="0"/>
      <w:position w:val="0"/>
      <w:sz w:val="8"/>
      <w:szCs w:val="8"/>
      <w:u w:val="none"/>
      <w:lang w:val="ru-RU"/>
    </w:rPr>
  </w:style>
  <w:style w:type="character" w:styleId="945" w:customStyle="1">
    <w:name w:val="Колонтитул + Arial;9 pt;Курсив"/>
    <w:basedOn w:val="913"/>
    <w:rPr>
      <w:rFonts w:ascii="Arial" w:hAnsi="Arial" w:eastAsia="Arial" w:cs="Arial"/>
      <w:b/>
      <w:bCs/>
      <w:i/>
      <w:iCs/>
      <w:smallCaps w:val="0"/>
      <w:strike w:val="0"/>
      <w:color w:val="000000"/>
      <w:spacing w:val="0"/>
      <w:position w:val="0"/>
      <w:sz w:val="18"/>
      <w:szCs w:val="18"/>
      <w:u w:val="none"/>
    </w:rPr>
  </w:style>
  <w:style w:type="character" w:styleId="946" w:customStyle="1">
    <w:name w:val="Основной текст (13)_"/>
    <w:basedOn w:val="736"/>
    <w:link w:val="966"/>
    <w:rPr>
      <w:rFonts w:ascii="Arial" w:hAnsi="Arial" w:eastAsia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styleId="947" w:customStyle="1">
    <w:name w:val="Основной текст (14)_"/>
    <w:basedOn w:val="736"/>
    <w:link w:val="967"/>
    <w:rPr>
      <w:rFonts w:ascii="Arial" w:hAnsi="Arial" w:eastAsia="Arial" w:cs="Arial"/>
      <w:b/>
      <w:bCs/>
      <w:i/>
      <w:iCs/>
      <w:smallCaps w:val="0"/>
      <w:strike w:val="0"/>
      <w:spacing w:val="-10"/>
      <w:sz w:val="17"/>
      <w:szCs w:val="17"/>
      <w:u w:val="none"/>
    </w:rPr>
  </w:style>
  <w:style w:type="character" w:styleId="948" w:customStyle="1">
    <w:name w:val="Основной текст (14) + Не полужирный;Не курсив"/>
    <w:basedOn w:val="947"/>
    <w:rPr>
      <w:rFonts w:ascii="Arial" w:hAnsi="Arial" w:eastAsia="Arial" w:cs="Arial"/>
      <w:b/>
      <w:bCs/>
      <w:i/>
      <w:iCs/>
      <w:smallCaps w:val="0"/>
      <w:strike w:val="0"/>
      <w:color w:val="000000"/>
      <w:spacing w:val="-10"/>
      <w:position w:val="0"/>
      <w:sz w:val="17"/>
      <w:szCs w:val="17"/>
      <w:u w:val="none"/>
      <w:lang w:val="ru-RU"/>
    </w:rPr>
  </w:style>
  <w:style w:type="character" w:styleId="949" w:customStyle="1">
    <w:name w:val="Основной текст (14) + Не курсив;Интервал 0 pt"/>
    <w:basedOn w:val="947"/>
    <w:rPr>
      <w:rFonts w:ascii="Arial" w:hAnsi="Arial" w:eastAsia="Arial" w:cs="Arial"/>
      <w:b/>
      <w:bCs/>
      <w:i/>
      <w:iCs/>
      <w:smallCaps w:val="0"/>
      <w:strike w:val="0"/>
      <w:color w:val="000000"/>
      <w:spacing w:val="0"/>
      <w:position w:val="0"/>
      <w:sz w:val="17"/>
      <w:szCs w:val="17"/>
      <w:u w:val="none"/>
      <w:lang w:val="ru-RU"/>
    </w:rPr>
  </w:style>
  <w:style w:type="character" w:styleId="950" w:customStyle="1">
    <w:name w:val="Основной текст + Полужирный;Курсив"/>
    <w:basedOn w:val="912"/>
    <w:rPr>
      <w:rFonts w:ascii="Arial" w:hAnsi="Arial" w:eastAsia="Arial" w:cs="Arial"/>
      <w:b/>
      <w:bCs/>
      <w:i/>
      <w:iCs/>
      <w:smallCaps w:val="0"/>
      <w:strike w:val="0"/>
      <w:color w:val="000000"/>
      <w:spacing w:val="-10"/>
      <w:position w:val="0"/>
      <w:sz w:val="17"/>
      <w:szCs w:val="17"/>
      <w:u w:val="none"/>
      <w:lang w:val="ru-RU"/>
    </w:rPr>
  </w:style>
  <w:style w:type="character" w:styleId="951" w:customStyle="1">
    <w:name w:val="Основной текст + Полужирный;Интервал 0 pt"/>
    <w:basedOn w:val="912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17"/>
      <w:szCs w:val="17"/>
      <w:u w:val="none"/>
    </w:rPr>
  </w:style>
  <w:style w:type="paragraph" w:styleId="952" w:customStyle="1">
    <w:name w:val="Основной текст2"/>
    <w:basedOn w:val="735"/>
    <w:link w:val="912"/>
    <w:pPr>
      <w:ind w:hanging="320"/>
      <w:jc w:val="both"/>
      <w:spacing w:after="300" w:line="186" w:lineRule="exact"/>
      <w:shd w:val="clear" w:color="auto" w:fill="ffffff"/>
    </w:pPr>
    <w:rPr>
      <w:rFonts w:ascii="Arial" w:hAnsi="Arial" w:eastAsia="Arial" w:cs="Arial"/>
      <w:spacing w:val="-10"/>
      <w:sz w:val="17"/>
      <w:szCs w:val="17"/>
    </w:rPr>
  </w:style>
  <w:style w:type="paragraph" w:styleId="953" w:customStyle="1">
    <w:name w:val="Колонтитул"/>
    <w:basedOn w:val="735"/>
    <w:link w:val="913"/>
    <w:pPr>
      <w:spacing w:line="0" w:lineRule="atLeast"/>
      <w:shd w:val="clear" w:color="auto" w:fill="ffffff"/>
    </w:pPr>
    <w:rPr>
      <w:rFonts w:ascii="Franklin Gothic Heavy" w:hAnsi="Franklin Gothic Heavy" w:eastAsia="Franklin Gothic Heavy" w:cs="Franklin Gothic Heavy"/>
      <w:b/>
      <w:bCs/>
      <w:sz w:val="17"/>
      <w:szCs w:val="17"/>
    </w:rPr>
  </w:style>
  <w:style w:type="paragraph" w:styleId="954" w:customStyle="1">
    <w:name w:val="Основной текст (2)"/>
    <w:basedOn w:val="735"/>
    <w:link w:val="915"/>
    <w:pPr>
      <w:spacing w:before="300" w:after="60" w:line="250" w:lineRule="exact"/>
      <w:shd w:val="clear" w:color="auto" w:fill="ffffff"/>
    </w:pPr>
    <w:rPr>
      <w:rFonts w:ascii="Arial" w:hAnsi="Arial" w:eastAsia="Arial" w:cs="Arial"/>
      <w:b/>
      <w:bCs/>
      <w:spacing w:val="-10"/>
      <w:sz w:val="22"/>
      <w:szCs w:val="22"/>
    </w:rPr>
  </w:style>
  <w:style w:type="paragraph" w:styleId="955" w:customStyle="1">
    <w:name w:val="Основной текст (3)"/>
    <w:basedOn w:val="735"/>
    <w:link w:val="916"/>
    <w:pPr>
      <w:jc w:val="center"/>
      <w:spacing w:before="60" w:after="60" w:line="0" w:lineRule="atLeast"/>
      <w:shd w:val="clear" w:color="auto" w:fill="ffffff"/>
    </w:pPr>
    <w:rPr>
      <w:rFonts w:ascii="Arial" w:hAnsi="Arial" w:eastAsia="Arial" w:cs="Arial"/>
      <w:b/>
      <w:bCs/>
      <w:i/>
      <w:iCs/>
      <w:spacing w:val="-10"/>
      <w:sz w:val="17"/>
      <w:szCs w:val="17"/>
    </w:rPr>
  </w:style>
  <w:style w:type="paragraph" w:styleId="956" w:customStyle="1">
    <w:name w:val="Основной текст (4)"/>
    <w:basedOn w:val="735"/>
    <w:link w:val="917"/>
    <w:pPr>
      <w:jc w:val="right"/>
      <w:spacing w:before="60" w:after="60" w:line="0" w:lineRule="atLeast"/>
      <w:shd w:val="clear" w:color="auto" w:fill="ffffff"/>
    </w:pPr>
    <w:rPr>
      <w:rFonts w:ascii="Arial" w:hAnsi="Arial" w:eastAsia="Arial" w:cs="Arial"/>
      <w:i/>
      <w:iCs/>
      <w:spacing w:val="-10"/>
      <w:sz w:val="17"/>
      <w:szCs w:val="17"/>
    </w:rPr>
  </w:style>
  <w:style w:type="paragraph" w:styleId="957" w:customStyle="1">
    <w:name w:val="Заголовок №1"/>
    <w:basedOn w:val="735"/>
    <w:link w:val="918"/>
    <w:pPr>
      <w:jc w:val="center"/>
      <w:spacing w:before="60" w:after="180" w:line="234" w:lineRule="exact"/>
      <w:shd w:val="clear" w:color="auto" w:fill="ffffff"/>
      <w:outlineLvl w:val="0"/>
    </w:pPr>
    <w:rPr>
      <w:rFonts w:ascii="Arial" w:hAnsi="Arial" w:eastAsia="Arial" w:cs="Arial"/>
      <w:b/>
      <w:bCs/>
      <w:sz w:val="20"/>
      <w:szCs w:val="20"/>
    </w:rPr>
  </w:style>
  <w:style w:type="paragraph" w:styleId="958" w:customStyle="1">
    <w:name w:val="Основной текст (5)"/>
    <w:basedOn w:val="735"/>
    <w:link w:val="919"/>
    <w:pPr>
      <w:jc w:val="center"/>
      <w:spacing w:before="180" w:after="180" w:line="0" w:lineRule="atLeast"/>
      <w:shd w:val="clear" w:color="auto" w:fill="ffffff"/>
    </w:pPr>
    <w:rPr>
      <w:rFonts w:ascii="Franklin Gothic Heavy" w:hAnsi="Franklin Gothic Heavy" w:eastAsia="Franklin Gothic Heavy" w:cs="Franklin Gothic Heavy"/>
      <w:i/>
      <w:iCs/>
      <w:spacing w:val="-10"/>
      <w:sz w:val="13"/>
      <w:szCs w:val="13"/>
    </w:rPr>
  </w:style>
  <w:style w:type="paragraph" w:styleId="959" w:customStyle="1">
    <w:name w:val="Основной текст (6)"/>
    <w:basedOn w:val="735"/>
    <w:link w:val="921"/>
    <w:pPr>
      <w:jc w:val="both"/>
      <w:spacing w:before="60" w:after="180" w:line="0" w:lineRule="atLeast"/>
      <w:shd w:val="clear" w:color="auto" w:fill="ffffff"/>
    </w:pPr>
    <w:rPr>
      <w:rFonts w:ascii="Arial" w:hAnsi="Arial" w:eastAsia="Arial" w:cs="Arial"/>
      <w:spacing w:val="-10"/>
      <w:sz w:val="16"/>
      <w:szCs w:val="16"/>
    </w:rPr>
  </w:style>
  <w:style w:type="paragraph" w:styleId="960" w:customStyle="1">
    <w:name w:val="Основной текст (7)"/>
    <w:basedOn w:val="735"/>
    <w:link w:val="928"/>
    <w:pPr>
      <w:jc w:val="both"/>
      <w:spacing w:line="195" w:lineRule="exact"/>
      <w:shd w:val="clear" w:color="auto" w:fill="ffffff"/>
    </w:pPr>
    <w:rPr>
      <w:rFonts w:ascii="Verdana" w:hAnsi="Verdana" w:eastAsia="Verdana" w:cs="Verdana"/>
      <w:b/>
      <w:bCs/>
      <w:sz w:val="12"/>
      <w:szCs w:val="12"/>
    </w:rPr>
  </w:style>
  <w:style w:type="paragraph" w:styleId="961" w:customStyle="1">
    <w:name w:val="Основной текст (8)"/>
    <w:basedOn w:val="735"/>
    <w:link w:val="934"/>
    <w:pPr>
      <w:spacing w:before="120" w:after="120" w:line="198" w:lineRule="exact"/>
      <w:shd w:val="clear" w:color="auto" w:fill="ffffff"/>
    </w:pPr>
    <w:rPr>
      <w:rFonts w:ascii="Arial" w:hAnsi="Arial" w:eastAsia="Arial" w:cs="Arial"/>
      <w:b/>
      <w:bCs/>
      <w:sz w:val="17"/>
      <w:szCs w:val="17"/>
    </w:rPr>
  </w:style>
  <w:style w:type="paragraph" w:styleId="962" w:customStyle="1">
    <w:name w:val="Основной текст (9)"/>
    <w:basedOn w:val="735"/>
    <w:link w:val="936"/>
    <w:pPr>
      <w:jc w:val="center"/>
      <w:spacing w:line="0" w:lineRule="atLeast"/>
      <w:shd w:val="clear" w:color="auto" w:fill="ffffff"/>
    </w:pPr>
    <w:rPr>
      <w:rFonts w:ascii="Arial" w:hAnsi="Arial" w:eastAsia="Arial" w:cs="Arial"/>
      <w:b/>
      <w:bCs/>
      <w:i/>
      <w:iCs/>
      <w:sz w:val="15"/>
      <w:szCs w:val="15"/>
    </w:rPr>
  </w:style>
  <w:style w:type="paragraph" w:styleId="963" w:customStyle="1">
    <w:name w:val="Основной текст (10)"/>
    <w:basedOn w:val="735"/>
    <w:link w:val="937"/>
    <w:pPr>
      <w:spacing w:line="0" w:lineRule="atLeast"/>
      <w:shd w:val="clear" w:color="auto" w:fill="ffffff"/>
    </w:pPr>
    <w:rPr>
      <w:rFonts w:ascii="MS Gothic" w:hAnsi="MS Gothic" w:eastAsia="MS Gothic" w:cs="MS Gothic"/>
      <w:sz w:val="11"/>
      <w:szCs w:val="11"/>
    </w:rPr>
  </w:style>
  <w:style w:type="paragraph" w:styleId="964" w:customStyle="1">
    <w:name w:val="Основной текст (11)"/>
    <w:basedOn w:val="735"/>
    <w:link w:val="942"/>
    <w:pPr>
      <w:jc w:val="both"/>
      <w:spacing w:before="120" w:after="900" w:line="0" w:lineRule="atLeast"/>
      <w:shd w:val="clear" w:color="auto" w:fill="ffffff"/>
    </w:pPr>
    <w:rPr>
      <w:rFonts w:ascii="Franklin Gothic Heavy" w:hAnsi="Franklin Gothic Heavy" w:eastAsia="Franklin Gothic Heavy" w:cs="Franklin Gothic Heavy"/>
      <w:sz w:val="15"/>
      <w:szCs w:val="15"/>
    </w:rPr>
  </w:style>
  <w:style w:type="paragraph" w:styleId="965" w:customStyle="1">
    <w:name w:val="Основной текст (12)"/>
    <w:basedOn w:val="735"/>
    <w:link w:val="943"/>
    <w:pPr>
      <w:spacing w:before="900" w:line="0" w:lineRule="atLeast"/>
      <w:shd w:val="clear" w:color="auto" w:fill="ffffff"/>
    </w:pPr>
    <w:rPr>
      <w:rFonts w:ascii="Franklin Gothic Heavy" w:hAnsi="Franklin Gothic Heavy" w:eastAsia="Franklin Gothic Heavy" w:cs="Franklin Gothic Heavy"/>
      <w:sz w:val="8"/>
      <w:szCs w:val="8"/>
      <w:lang w:val="en-US"/>
    </w:rPr>
  </w:style>
  <w:style w:type="paragraph" w:styleId="966" w:customStyle="1">
    <w:name w:val="Основной текст (13)"/>
    <w:basedOn w:val="735"/>
    <w:link w:val="946"/>
    <w:pPr>
      <w:jc w:val="right"/>
      <w:spacing w:before="240" w:line="0" w:lineRule="atLeast"/>
      <w:shd w:val="clear" w:color="auto" w:fill="ffffff"/>
    </w:pPr>
    <w:rPr>
      <w:rFonts w:ascii="Arial" w:hAnsi="Arial" w:eastAsia="Arial" w:cs="Arial"/>
      <w:b/>
      <w:bCs/>
      <w:sz w:val="15"/>
      <w:szCs w:val="15"/>
    </w:rPr>
  </w:style>
  <w:style w:type="paragraph" w:styleId="967" w:customStyle="1">
    <w:name w:val="Основной текст (14)"/>
    <w:basedOn w:val="735"/>
    <w:link w:val="947"/>
    <w:pPr>
      <w:ind w:firstLine="240"/>
      <w:jc w:val="both"/>
      <w:spacing w:line="209" w:lineRule="exact"/>
      <w:shd w:val="clear" w:color="auto" w:fill="ffffff"/>
    </w:pPr>
    <w:rPr>
      <w:rFonts w:ascii="Arial" w:hAnsi="Arial" w:eastAsia="Arial" w:cs="Arial"/>
      <w:b/>
      <w:bCs/>
      <w:i/>
      <w:iCs/>
      <w:spacing w:val="-10"/>
      <w:sz w:val="17"/>
      <w:szCs w:val="17"/>
    </w:rPr>
  </w:style>
  <w:style w:type="paragraph" w:styleId="968">
    <w:name w:val="No Spacing"/>
    <w:uiPriority w:val="1"/>
    <w:qFormat/>
    <w:rPr>
      <w:color w:val="000000"/>
    </w:rPr>
  </w:style>
  <w:style w:type="paragraph" w:styleId="969" w:customStyle="1">
    <w:name w:val="Header"/>
    <w:basedOn w:val="735"/>
    <w:link w:val="970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70" w:customStyle="1">
    <w:name w:val="Верхний колонтитул Знак"/>
    <w:basedOn w:val="736"/>
    <w:link w:val="969"/>
    <w:uiPriority w:val="99"/>
    <w:semiHidden/>
    <w:rPr>
      <w:color w:val="000000"/>
    </w:rPr>
  </w:style>
  <w:style w:type="paragraph" w:styleId="971" w:customStyle="1">
    <w:name w:val="Footer"/>
    <w:basedOn w:val="735"/>
    <w:link w:val="972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72" w:customStyle="1">
    <w:name w:val="Нижний колонтитул Знак"/>
    <w:basedOn w:val="736"/>
    <w:link w:val="971"/>
    <w:uiPriority w:val="99"/>
    <w:semiHidden/>
    <w:rPr>
      <w:color w:val="000000"/>
    </w:rPr>
  </w:style>
  <w:style w:type="table" w:styleId="973">
    <w:name w:val="Table Grid"/>
    <w:basedOn w:val="737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974" w:customStyle="1">
    <w:name w:val="Основной текст + Полужирный"/>
    <w:basedOn w:val="736"/>
    <w:uiPriority w:val="99"/>
    <w:rPr>
      <w:rFonts w:hint="default" w:ascii="Arial" w:hAnsi="Arial" w:eastAsia="Arial" w:cs="Arial"/>
      <w:b/>
      <w:bCs/>
      <w:i/>
      <w:iCs/>
      <w:smallCaps w:val="0"/>
      <w:strike w:val="0"/>
      <w:color w:val="000000"/>
      <w:spacing w:val="-10"/>
      <w:position w:val="0"/>
      <w:sz w:val="17"/>
      <w:szCs w:val="17"/>
      <w:u w:val="none"/>
      <w:lang w:val="ru-RU"/>
    </w:rPr>
  </w:style>
  <w:style w:type="paragraph" w:styleId="975">
    <w:name w:val="List Paragraph"/>
    <w:basedOn w:val="735"/>
    <w:uiPriority w:val="34"/>
    <w:qFormat/>
    <w:pPr>
      <w:contextualSpacing/>
      <w:ind w:left="720"/>
    </w:pPr>
  </w:style>
  <w:style w:type="character" w:styleId="976" w:customStyle="1">
    <w:name w:val="Заголовок 1 Знак"/>
    <w:basedOn w:val="736"/>
    <w:link w:val="909"/>
    <w:rPr>
      <w:rFonts w:ascii="Times New Roman" w:hAnsi="Times New Roman" w:eastAsia="Times New Roman" w:cs="Times New Roman"/>
      <w:sz w:val="28"/>
      <w:szCs w:val="20"/>
    </w:rPr>
  </w:style>
  <w:style w:type="paragraph" w:styleId="977">
    <w:name w:val="Body Text"/>
    <w:basedOn w:val="735"/>
    <w:link w:val="978"/>
    <w:semiHidden/>
    <w:unhideWhenUsed/>
    <w:pPr>
      <w:widowControl/>
    </w:pPr>
    <w:rPr>
      <w:rFonts w:ascii="Times New Roman" w:hAnsi="Times New Roman" w:eastAsia="Times New Roman" w:cs="Times New Roman"/>
      <w:color w:val="auto"/>
      <w:sz w:val="28"/>
      <w:szCs w:val="20"/>
    </w:rPr>
  </w:style>
  <w:style w:type="character" w:styleId="978" w:customStyle="1">
    <w:name w:val="Основной текст Знак"/>
    <w:basedOn w:val="736"/>
    <w:link w:val="977"/>
    <w:semiHidden/>
    <w:rPr>
      <w:rFonts w:ascii="Times New Roman" w:hAnsi="Times New Roman" w:eastAsia="Times New Roman" w:cs="Times New Roman"/>
      <w:sz w:val="28"/>
      <w:szCs w:val="20"/>
    </w:rPr>
  </w:style>
  <w:style w:type="character" w:styleId="979" w:customStyle="1">
    <w:name w:val="Основной текст + 6 pt"/>
    <w:basedOn w:val="736"/>
    <w:rPr>
      <w:rFonts w:hint="default"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12"/>
      <w:szCs w:val="12"/>
      <w:u w:val="none"/>
      <w:lang w:val="ru-RU"/>
    </w:rPr>
  </w:style>
  <w:style w:type="character" w:styleId="980" w:customStyle="1">
    <w:name w:val="Заголовок 2 Знак"/>
    <w:basedOn w:val="736"/>
    <w:link w:val="910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981" w:customStyle="1">
    <w:name w:val="dt-p"/>
    <w:basedOn w:val="735"/>
    <w:pPr>
      <w:spacing w:before="100" w:beforeAutospacing="1" w:after="100" w:afterAutospacing="1"/>
      <w:widowControl/>
    </w:pPr>
    <w:rPr>
      <w:rFonts w:ascii="Times New Roman" w:hAnsi="Times New Roman" w:eastAsia="Times New Roman" w:cs="Times New Roman"/>
      <w:color w:val="auto"/>
    </w:rPr>
  </w:style>
  <w:style w:type="paragraph" w:styleId="982" w:customStyle="1">
    <w:name w:val="s_1"/>
    <w:basedOn w:val="735"/>
    <w:pPr>
      <w:spacing w:before="100" w:beforeAutospacing="1" w:after="100" w:afterAutospacing="1"/>
      <w:widowControl/>
    </w:pPr>
    <w:rPr>
      <w:rFonts w:ascii="Times New Roman" w:hAnsi="Times New Roman" w:eastAsia="Times New Roman" w:cs="Times New Roman"/>
      <w:color w:val="auto"/>
    </w:rPr>
  </w:style>
  <w:style w:type="paragraph" w:styleId="983" w:customStyle="1">
    <w:name w:val="s_3"/>
    <w:basedOn w:val="735"/>
    <w:pPr>
      <w:spacing w:before="100" w:beforeAutospacing="1" w:after="100" w:afterAutospacing="1"/>
      <w:widowControl/>
    </w:pPr>
    <w:rPr>
      <w:rFonts w:ascii="Times New Roman" w:hAnsi="Times New Roman" w:eastAsia="Times New Roman" w:cs="Times New Roman"/>
      <w:color w:val="auto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8E947-0F94-4C8F-BE82-5CDC2E642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odminko</dc:creator>
  <cp:lastModifiedBy>Ефимова Е Н</cp:lastModifiedBy>
  <cp:revision>106</cp:revision>
  <dcterms:created xsi:type="dcterms:W3CDTF">2024-11-28T09:13:00Z</dcterms:created>
  <dcterms:modified xsi:type="dcterms:W3CDTF">2026-07-15T08:27:07Z</dcterms:modified>
</cp:coreProperties>
</file>