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Государственное автономное профессиональное образовательное учреждение</w:t>
      </w:r>
      <w:r>
        <w:rPr>
          <w:rFonts w:ascii="Times New Roman" w:hAnsi="Times New Roman" w:cs="Times New Roman"/>
        </w:rPr>
      </w:r>
    </w:p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«Оренбургский госуда</w:t>
      </w:r>
      <w:r>
        <w:rPr>
          <w:rFonts w:ascii="Times New Roman" w:hAnsi="Times New Roman" w:cs="Times New Roman"/>
        </w:rPr>
        <w:t xml:space="preserve">рственный колледж»</w:t>
      </w:r>
      <w:r>
        <w:rPr>
          <w:rFonts w:ascii="Times New Roman" w:hAnsi="Times New Roman" w:cs="Times New Roman"/>
        </w:rPr>
      </w:r>
    </w:p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070"/>
        <w:gridCol w:w="5071"/>
      </w:tblGrid>
      <w:tr>
        <w:tblPrEx/>
        <w:trPr/>
        <w:tc>
          <w:tcPr>
            <w:tcW w:w="50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</w:r>
            <w:r>
              <w:rPr>
                <w:rFonts w:ascii="Times New Roman" w:hAnsi="Times New Roman" w:cs="Times New Roman"/>
                <w:caps/>
              </w:rPr>
            </w:r>
          </w:p>
        </w:tc>
        <w:tc>
          <w:tcPr>
            <w:tcW w:w="507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</w:r>
            <w:r>
              <w:rPr>
                <w:rFonts w:ascii="Times New Roman" w:hAnsi="Times New Roman" w:cs="Times New Roman"/>
                <w:caps/>
              </w:rPr>
            </w:r>
          </w:p>
        </w:tc>
      </w:tr>
    </w:tbl>
    <w:p>
      <w:pPr>
        <w:jc w:val="center"/>
        <w:rPr>
          <w:rFonts w:ascii="Times New Roman" w:hAnsi="Times New Roman" w:cs="Times New Roman"/>
          <w:caps/>
        </w:rPr>
      </w:pPr>
      <w:r>
        <w:rPr>
          <w:rFonts w:ascii="Times New Roman" w:hAnsi="Times New Roman" w:cs="Times New Roman"/>
          <w:caps/>
        </w:rPr>
      </w:r>
      <w:r>
        <w:rPr>
          <w:rFonts w:ascii="Times New Roman" w:hAnsi="Times New Roman" w:cs="Times New Roman"/>
          <w:caps/>
        </w:rPr>
      </w:r>
    </w:p>
    <w:p>
      <w:pPr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</w:r>
      <w:r>
        <w:rPr>
          <w:rFonts w:ascii="Times New Roman" w:hAnsi="Times New Roman" w:cs="Times New Roman"/>
          <w:b/>
          <w:caps/>
        </w:rPr>
      </w:r>
    </w:p>
    <w:p>
      <w:pPr>
        <w:jc w:val="center"/>
        <w:tabs>
          <w:tab w:val="left" w:pos="0" w:leader="none"/>
          <w:tab w:val="left" w:pos="2700" w:leader="none"/>
          <w:tab w:val="left" w:pos="6660" w:leader="none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jc w:val="center"/>
        <w:tabs>
          <w:tab w:val="left" w:pos="0" w:leader="none"/>
          <w:tab w:val="left" w:pos="2700" w:leader="none"/>
          <w:tab w:val="left" w:pos="6660" w:leader="none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jc w:val="center"/>
        <w:tabs>
          <w:tab w:val="left" w:pos="0" w:leader="none"/>
          <w:tab w:val="left" w:pos="2700" w:leader="none"/>
          <w:tab w:val="left" w:pos="6660" w:leader="none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jc w:val="center"/>
        <w:tabs>
          <w:tab w:val="left" w:pos="0" w:leader="none"/>
          <w:tab w:val="left" w:pos="2700" w:leader="none"/>
          <w:tab w:val="left" w:pos="6660" w:leader="none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jc w:val="center"/>
        <w:tabs>
          <w:tab w:val="left" w:pos="0" w:leader="none"/>
          <w:tab w:val="left" w:pos="2700" w:leader="none"/>
          <w:tab w:val="left" w:pos="6660" w:leader="none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jc w:val="center"/>
        <w:tabs>
          <w:tab w:val="left" w:pos="0" w:leader="none"/>
          <w:tab w:val="left" w:pos="2700" w:leader="none"/>
          <w:tab w:val="left" w:pos="6660" w:leader="none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jc w:val="center"/>
        <w:tabs>
          <w:tab w:val="left" w:pos="0" w:leader="none"/>
          <w:tab w:val="left" w:pos="2700" w:leader="none"/>
          <w:tab w:val="left" w:pos="6660" w:leader="none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ПРОГРАММА</w:t>
      </w:r>
      <w:r>
        <w:rPr>
          <w:rFonts w:ascii="Times New Roman" w:hAnsi="Times New Roman" w:cs="Times New Roman"/>
          <w:b/>
          <w:bCs/>
        </w:rPr>
      </w:r>
    </w:p>
    <w:p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ГОСУДАРСТВЕННОЙ ИТОГОВОЙ АТТЕСТАЦИИ</w:t>
      </w:r>
      <w:r>
        <w:rPr>
          <w:rFonts w:ascii="Times New Roman" w:hAnsi="Times New Roman" w:cs="Times New Roman"/>
          <w:b/>
          <w:bCs/>
        </w:rPr>
      </w:r>
    </w:p>
    <w:p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по программе подготовки квалифицированных рабочих, служащих</w:t>
      </w:r>
      <w:r>
        <w:rPr>
          <w:rFonts w:ascii="Times New Roman" w:hAnsi="Times New Roman" w:cs="Times New Roman"/>
          <w:bCs/>
        </w:rPr>
      </w:r>
    </w:p>
    <w:p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п</w:t>
      </w:r>
      <w:r>
        <w:rPr>
          <w:rFonts w:ascii="Times New Roman" w:hAnsi="Times New Roman" w:cs="Times New Roman"/>
        </w:rPr>
        <w:t xml:space="preserve">о профессии </w:t>
      </w:r>
      <w:r>
        <w:rPr>
          <w:rFonts w:ascii="Times New Roman" w:hAnsi="Times New Roman" w:cs="Times New Roman"/>
        </w:rPr>
        <w:t xml:space="preserve">18.01.34   Лаборант по контролю качества сырья, реактивов, промежуточных продуктов, готовой продукции, отходов производства (по отраслям)</w:t>
      </w:r>
      <w:r>
        <w:rPr>
          <w:rFonts w:ascii="Times New Roman" w:hAnsi="Times New Roman" w:cs="Times New Roman"/>
          <w:b/>
        </w:rPr>
      </w:r>
    </w:p>
    <w:p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773"/>
        <w:ind w:left="0"/>
        <w:jc w:val="center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</w:rPr>
      </w:pPr>
      <w:r>
        <w:rPr>
          <w:b/>
        </w:rPr>
      </w:r>
      <w:r>
        <w:rPr>
          <w:b/>
        </w:rPr>
      </w:r>
    </w:p>
    <w:p>
      <w:pPr>
        <w:pStyle w:val="773"/>
        <w:ind w:left="0"/>
        <w:jc w:val="center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</w:rPr>
      </w:pPr>
      <w:r>
        <w:rPr>
          <w:b/>
        </w:rPr>
      </w:r>
      <w:r>
        <w:rPr>
          <w:b/>
        </w:rPr>
      </w:r>
    </w:p>
    <w:p>
      <w:pPr>
        <w:pStyle w:val="773"/>
        <w:ind w:left="0"/>
        <w:jc w:val="center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</w:rPr>
      </w:pPr>
      <w:r>
        <w:rPr>
          <w:b/>
        </w:rPr>
      </w:r>
      <w:r>
        <w:rPr>
          <w:b/>
        </w:rPr>
      </w:r>
    </w:p>
    <w:p>
      <w:pPr>
        <w:pStyle w:val="773"/>
        <w:ind w:left="0"/>
        <w:jc w:val="center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</w:rPr>
      </w:pPr>
      <w:r>
        <w:rPr>
          <w:b/>
        </w:rPr>
      </w:r>
      <w:r>
        <w:rPr>
          <w:b/>
        </w:rPr>
      </w:r>
    </w:p>
    <w:p>
      <w:pPr>
        <w:pStyle w:val="773"/>
        <w:ind w:left="0"/>
        <w:jc w:val="center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</w:rPr>
      </w:pPr>
      <w:r>
        <w:rPr>
          <w:b/>
        </w:rPr>
      </w:r>
      <w:r>
        <w:rPr>
          <w:b/>
        </w:rPr>
      </w:r>
    </w:p>
    <w:p>
      <w:pPr>
        <w:pStyle w:val="773"/>
        <w:ind w:left="0"/>
        <w:jc w:val="center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</w:rPr>
      </w:pPr>
      <w:r>
        <w:rPr>
          <w:b/>
        </w:rPr>
      </w:r>
      <w:r>
        <w:rPr>
          <w:b/>
        </w:rPr>
      </w:r>
    </w:p>
    <w:p>
      <w:pPr>
        <w:pStyle w:val="773"/>
        <w:ind w:left="0"/>
        <w:jc w:val="center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</w:rPr>
      </w:pPr>
      <w:r>
        <w:rPr>
          <w:b/>
        </w:rPr>
      </w:r>
      <w:r>
        <w:rPr>
          <w:b/>
        </w:rPr>
      </w:r>
    </w:p>
    <w:p>
      <w:pPr>
        <w:pStyle w:val="773"/>
        <w:ind w:left="0"/>
        <w:jc w:val="center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</w:rPr>
      </w:pPr>
      <w:r>
        <w:rPr>
          <w:b/>
        </w:rPr>
      </w:r>
      <w:r>
        <w:rPr>
          <w:b/>
        </w:rPr>
      </w:r>
    </w:p>
    <w:p>
      <w:pPr>
        <w:pStyle w:val="773"/>
        <w:ind w:left="0"/>
        <w:jc w:val="center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</w:rPr>
      </w:pPr>
      <w:r>
        <w:rPr>
          <w:b/>
        </w:rPr>
      </w:r>
      <w:r>
        <w:rPr>
          <w:b/>
        </w:rPr>
      </w:r>
    </w:p>
    <w:p>
      <w:pPr>
        <w:pStyle w:val="773"/>
        <w:ind w:left="0"/>
        <w:jc w:val="center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</w:rPr>
      </w:pPr>
      <w:r>
        <w:rPr>
          <w:b/>
        </w:rPr>
      </w:r>
      <w:r>
        <w:rPr>
          <w:b/>
        </w:rPr>
      </w:r>
    </w:p>
    <w:p>
      <w:pPr>
        <w:pStyle w:val="773"/>
        <w:ind w:left="0"/>
        <w:jc w:val="center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</w:rPr>
      </w:pPr>
      <w:r>
        <w:rPr>
          <w:b/>
        </w:rPr>
      </w:r>
      <w:r>
        <w:rPr>
          <w:b/>
        </w:rPr>
      </w:r>
    </w:p>
    <w:p>
      <w:pPr>
        <w:pStyle w:val="773"/>
        <w:ind w:left="0"/>
        <w:jc w:val="center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</w:rPr>
      </w:pPr>
      <w:r>
        <w:rPr>
          <w:b/>
        </w:rPr>
      </w:r>
      <w:r>
        <w:rPr>
          <w:b/>
        </w:rPr>
      </w:r>
    </w:p>
    <w:p>
      <w:pPr>
        <w:pStyle w:val="773"/>
        <w:ind w:left="0"/>
        <w:jc w:val="center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</w:rPr>
      </w:pPr>
      <w:r>
        <w:rPr>
          <w:b/>
        </w:rPr>
      </w:r>
      <w:r>
        <w:rPr>
          <w:b/>
        </w:rPr>
      </w:r>
    </w:p>
    <w:p>
      <w:pPr>
        <w:pStyle w:val="773"/>
        <w:ind w:left="0"/>
        <w:jc w:val="center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</w:rPr>
      </w:pPr>
      <w:r>
        <w:rPr>
          <w:b/>
        </w:rPr>
      </w:r>
      <w:r>
        <w:rPr>
          <w:b/>
        </w:rPr>
      </w:r>
    </w:p>
    <w:p>
      <w:pPr>
        <w:pStyle w:val="773"/>
        <w:ind w:left="0"/>
        <w:jc w:val="center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</w:rPr>
      </w:pPr>
      <w:r>
        <w:rPr>
          <w:b/>
        </w:rPr>
      </w:r>
      <w:r>
        <w:rPr>
          <w:b/>
        </w:rPr>
      </w:r>
    </w:p>
    <w:p>
      <w:pPr>
        <w:pStyle w:val="773"/>
        <w:ind w:left="0"/>
        <w:jc w:val="center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</w:rPr>
      </w:pPr>
      <w:r>
        <w:rPr>
          <w:b/>
        </w:rPr>
      </w:r>
      <w:r>
        <w:rPr>
          <w:b/>
        </w:rPr>
      </w:r>
    </w:p>
    <w:p>
      <w:pPr>
        <w:pStyle w:val="773"/>
        <w:ind w:left="0"/>
        <w:jc w:val="center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</w:rPr>
      </w:pPr>
      <w:r>
        <w:rPr>
          <w:b/>
        </w:rPr>
      </w:r>
      <w:r>
        <w:rPr>
          <w:b/>
        </w:rPr>
      </w:r>
    </w:p>
    <w:p>
      <w:pPr>
        <w:pStyle w:val="773"/>
        <w:ind w:left="0"/>
        <w:jc w:val="center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</w:rPr>
      </w:pPr>
      <w:r>
        <w:rPr>
          <w:b/>
        </w:rPr>
      </w:r>
      <w:r>
        <w:rPr>
          <w:b/>
        </w:rPr>
      </w:r>
    </w:p>
    <w:p>
      <w:pPr>
        <w:pStyle w:val="773"/>
        <w:ind w:left="0"/>
        <w:jc w:val="center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</w:rPr>
      </w:pPr>
      <w:r>
        <w:rPr>
          <w:b/>
        </w:rPr>
      </w:r>
      <w:r>
        <w:rPr>
          <w:b/>
        </w:rPr>
      </w:r>
    </w:p>
    <w:p>
      <w:pPr>
        <w:pStyle w:val="773"/>
        <w:ind w:left="0"/>
        <w:jc w:val="center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bCs/>
        </w:rPr>
      </w:pPr>
      <w:r>
        <w:rPr>
          <w:b/>
        </w:rPr>
      </w:r>
      <w:r>
        <w:rPr>
          <w:b/>
        </w:rPr>
      </w:r>
    </w:p>
    <w:p>
      <w:pPr>
        <w:pStyle w:val="773"/>
        <w:ind w:left="0"/>
        <w:jc w:val="center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bCs/>
        </w:rPr>
      </w:pPr>
      <w:r>
        <w:rPr>
          <w:b/>
        </w:rPr>
      </w:r>
      <w:r>
        <w:rPr>
          <w:b/>
          <w:bCs/>
        </w:rPr>
      </w:r>
    </w:p>
    <w:p>
      <w:pPr>
        <w:pStyle w:val="773"/>
        <w:ind w:left="0"/>
        <w:jc w:val="center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</w:pPr>
      <w:r/>
      <w:bookmarkEnd w:id="0"/>
      <w:r/>
    </w:p>
    <w:p>
      <w:pPr>
        <w:pStyle w:val="768"/>
        <w:ind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1. Общие положения</w:t>
      </w:r>
      <w:r>
        <w:rPr>
          <w:rFonts w:ascii="Times New Roman" w:hAnsi="Times New Roman" w:cs="Times New Roman"/>
          <w:b/>
        </w:rPr>
      </w:r>
    </w:p>
    <w:p>
      <w:pPr>
        <w:ind w:right="12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1.1 </w:t>
      </w:r>
      <w:r>
        <w:rPr>
          <w:rFonts w:ascii="Times New Roman" w:hAnsi="Times New Roman" w:cs="Times New Roman"/>
        </w:rPr>
        <w:t xml:space="preserve">Программа государственной итоговой аттестации является частью программы подготовки квалифицированных рабочих, служащих по профессии среднего профессионального</w:t>
      </w:r>
      <w:r>
        <w:rPr>
          <w:rFonts w:ascii="Times New Roman" w:hAnsi="Times New Roman" w:cs="Times New Roman"/>
        </w:rPr>
        <w:t xml:space="preserve"> образования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1</w:t>
      </w:r>
      <w:r>
        <w:rPr>
          <w:rFonts w:ascii="Times New Roman" w:hAnsi="Times New Roman" w:cs="Times New Roman"/>
          <w:bCs/>
        </w:rPr>
        <w:t xml:space="preserve">8.01.33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Cs/>
        </w:rPr>
        <w:t xml:space="preserve">Лаборант по контролю качества сырья,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Cs/>
        </w:rPr>
        <w:t xml:space="preserve">реактивов, промежуточных продуктов, готовой продукции, отходов производства (по отраслям) среднего профессионального образования </w:t>
      </w:r>
      <w:r>
        <w:rPr>
          <w:rFonts w:ascii="Times New Roman" w:hAnsi="Times New Roman" w:cs="Times New Roman"/>
        </w:rPr>
        <w:t xml:space="preserve">разработанной на основ</w:t>
      </w:r>
      <w:r>
        <w:rPr>
          <w:rFonts w:ascii="Times New Roman" w:hAnsi="Times New Roman" w:cs="Times New Roman"/>
        </w:rPr>
        <w:t xml:space="preserve">е ФГОС СПО по профессии 18.01.34</w:t>
      </w:r>
      <w:r>
        <w:rPr>
          <w:rFonts w:ascii="Times New Roman" w:hAnsi="Times New Roman" w:cs="Times New Roman"/>
        </w:rPr>
        <w:t xml:space="preserve"> Лаборант по контролю качества сырья, реактивов, промежуточных продуктов, готовой продукции, отходов производства (по отраслям) утвержденного приказом </w:t>
      </w:r>
      <w:r>
        <w:rPr>
          <w:rFonts w:ascii="Times New Roman" w:hAnsi="Times New Roman" w:cs="Times New Roman"/>
        </w:rPr>
        <w:t xml:space="preserve">Минпросвещения  России от 15.11.2023 № 860 </w:t>
      </w:r>
      <w:r>
        <w:rPr>
          <w:rFonts w:ascii="Times New Roman" w:hAnsi="Times New Roman" w:cs="Times New Roman"/>
        </w:rPr>
        <w:t xml:space="preserve">(</w:t>
      </w:r>
      <w:r>
        <w:rPr>
          <w:rFonts w:ascii="Times New Roman" w:hAnsi="Times New Roman" w:cs="Times New Roman"/>
        </w:rPr>
        <w:t xml:space="preserve">зарегистрирован Министерством юстиции Российской Федерации 15.12.2023, регистрационный № 76437</w:t>
      </w:r>
      <w:r>
        <w:rPr>
          <w:rFonts w:ascii="Times New Roman" w:hAnsi="Times New Roman" w:cs="Times New Roman"/>
        </w:rPr>
        <w:t xml:space="preserve">)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и реализуемой на базе</w:t>
      </w:r>
      <w:r>
        <w:rPr>
          <w:rFonts w:ascii="Times New Roman" w:hAnsi="Times New Roman" w:cs="Times New Roman"/>
          <w:bCs/>
        </w:rPr>
        <w:t xml:space="preserve"> основного общего образования. </w:t>
      </w:r>
      <w:r>
        <w:rPr>
          <w:rFonts w:ascii="Times New Roman" w:hAnsi="Times New Roman" w:cs="Times New Roman"/>
          <w:bCs/>
        </w:rPr>
        <w:t xml:space="preserve">Квалификация: </w:t>
      </w:r>
      <w:r>
        <w:rPr>
          <w:rFonts w:ascii="Times New Roman" w:hAnsi="Times New Roman" w:cs="Times New Roman"/>
        </w:rPr>
        <w:t xml:space="preserve">лаборант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firstLine="567"/>
        <w:jc w:val="both"/>
        <w:shd w:val="clear" w:color="auto" w:fill="ffffff"/>
        <w:tabs>
          <w:tab w:val="left" w:pos="0" w:leader="none"/>
          <w:tab w:val="left" w:pos="1701" w:leader="none"/>
        </w:tabs>
        <w:rPr>
          <w:rFonts w:ascii="Times New Roman" w:hAnsi="Times New Roman" w:cs="Times New Roman"/>
        </w:rPr>
      </w:pPr>
      <w:r>
        <w:rPr>
          <w:rStyle w:val="724"/>
          <w:rFonts w:ascii="Times New Roman" w:hAnsi="Times New Roman" w:eastAsia="Courier New" w:cs="Times New Roman"/>
          <w:i w:val="0"/>
          <w:spacing w:val="0"/>
          <w:sz w:val="24"/>
          <w:szCs w:val="24"/>
        </w:rPr>
        <w:t xml:space="preserve">1.2 </w:t>
      </w:r>
      <w:r>
        <w:rPr>
          <w:rFonts w:ascii="Times New Roman" w:hAnsi="Times New Roman" w:cs="Times New Roman"/>
        </w:rPr>
        <w:t xml:space="preserve">Программа государственной итоговой аттестации разработана в соответствии с</w:t>
      </w:r>
      <w:r>
        <w:rPr>
          <w:rFonts w:ascii="Times New Roman" w:hAnsi="Times New Roman" w:cs="Times New Roman"/>
        </w:rPr>
        <w:t xml:space="preserve">:</w:t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widowControl/>
        <w:tabs>
          <w:tab w:val="left" w:pos="993" w:leader="none"/>
          <w:tab w:val="left" w:pos="1817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Федеральный закон от 29 декабря </w:t>
      </w:r>
      <w:r>
        <w:rPr>
          <w:rFonts w:ascii="Times New Roman" w:hAnsi="Times New Roman" w:cs="Times New Roman"/>
        </w:rPr>
        <w:t xml:space="preserve">2012 г</w:t>
      </w:r>
      <w:r>
        <w:rPr>
          <w:rFonts w:ascii="Times New Roman" w:hAnsi="Times New Roman" w:cs="Times New Roman"/>
        </w:rPr>
        <w:t xml:space="preserve">. № 273-ФЗ «Об образовании в Российской Федерации» с изменениями от </w:t>
      </w:r>
      <w:r>
        <w:rPr>
          <w:rFonts w:ascii="Times New Roman" w:hAnsi="Times New Roman" w:cs="Times New Roman"/>
        </w:rPr>
        <w:t xml:space="preserve">25.04.2026</w:t>
      </w:r>
      <w:r>
        <w:rPr>
          <w:rFonts w:ascii="Times New Roman" w:hAnsi="Times New Roman" w:cs="Times New Roman"/>
        </w:rPr>
        <w:t xml:space="preserve"> года; </w:t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widowControl/>
        <w:tabs>
          <w:tab w:val="left" w:pos="993" w:leader="none"/>
          <w:tab w:val="left" w:pos="1817" w:leader="none"/>
        </w:tabs>
        <w:rPr>
          <w:rFonts w:ascii="Times New Roman" w:hAnsi="Times New Roman" w:cs="Times New Roman"/>
          <w:iCs/>
        </w:rPr>
      </w:pPr>
      <w:r/>
      <w:bookmarkStart w:id="1" w:name="h113"/>
      <w:r/>
      <w:bookmarkEnd w:id="1"/>
      <w:r>
        <w:rPr>
          <w:rFonts w:ascii="Times New Roman" w:hAnsi="Times New Roman" w:cs="Times New Roman"/>
          <w:iCs/>
        </w:rPr>
        <w:t xml:space="preserve">- Приказ Министерства просвещения РФ от 24 августа 2022 г. N 762</w:t>
      </w:r>
      <w:bookmarkStart w:id="2" w:name="l2"/>
      <w:r/>
      <w:bookmarkEnd w:id="2"/>
      <w:r>
        <w:rPr>
          <w:rFonts w:ascii="Times New Roman" w:hAnsi="Times New Roman" w:cs="Times New Roman"/>
          <w:iCs/>
        </w:rPr>
        <w:t xml:space="preserve">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 с изменениями </w:t>
      </w:r>
      <w:r>
        <w:rPr>
          <w:rFonts w:ascii="Times New Roman" w:hAnsi="Times New Roman" w:cs="Times New Roman"/>
          <w:iCs/>
        </w:rPr>
        <w:t xml:space="preserve">от 16.04.2026</w:t>
      </w:r>
      <w:r>
        <w:rPr>
          <w:rFonts w:ascii="Times New Roman" w:hAnsi="Times New Roman" w:cs="Times New Roman"/>
          <w:iCs/>
        </w:rPr>
        <w:t xml:space="preserve"> года.</w:t>
      </w:r>
      <w:r>
        <w:rPr>
          <w:rFonts w:ascii="Times New Roman" w:hAnsi="Times New Roman" w:cs="Times New Roman"/>
          <w:iCs/>
        </w:rPr>
      </w:r>
    </w:p>
    <w:p>
      <w:pPr>
        <w:ind w:firstLine="567"/>
        <w:jc w:val="both"/>
        <w:widowControl/>
        <w:tabs>
          <w:tab w:val="left" w:pos="993" w:leader="none"/>
          <w:tab w:val="left" w:pos="1817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Приказ Министерства просвещения РФ от 8 ноября 2021г. №800 «Об утверждении Порядка проведения государственной итоговой аттестации по образовательным программам среднего профессионального образования», с изменениями от 22.05.2026 года.</w:t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widowControl/>
        <w:tabs>
          <w:tab w:val="left" w:pos="993" w:leader="none"/>
          <w:tab w:val="left" w:pos="1817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Приказ </w:t>
      </w:r>
      <w:r>
        <w:rPr>
          <w:rFonts w:ascii="Times New Roman" w:hAnsi="Times New Roman" w:cs="Times New Roman"/>
        </w:rPr>
        <w:t xml:space="preserve">Минпросвещения  </w:t>
      </w:r>
      <w:r>
        <w:rPr>
          <w:rFonts w:ascii="Times New Roman" w:hAnsi="Times New Roman" w:cs="Times New Roman"/>
        </w:rPr>
        <w:t xml:space="preserve">России от </w:t>
      </w:r>
      <w:r>
        <w:rPr>
          <w:rFonts w:ascii="Times New Roman" w:hAnsi="Times New Roman" w:cs="Times New Roman"/>
        </w:rPr>
        <w:t xml:space="preserve">15.11.2023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№ </w:t>
      </w:r>
      <w:r>
        <w:rPr>
          <w:rFonts w:ascii="Times New Roman" w:hAnsi="Times New Roman" w:cs="Times New Roman"/>
        </w:rPr>
        <w:t xml:space="preserve">860</w:t>
      </w:r>
      <w:r>
        <w:rPr>
          <w:rFonts w:ascii="Times New Roman" w:hAnsi="Times New Roman" w:cs="Times New Roman"/>
        </w:rPr>
        <w:t xml:space="preserve"> «Об утверждении федерального </w:t>
      </w:r>
      <w:r>
        <w:rPr>
          <w:rFonts w:ascii="Times New Roman" w:hAnsi="Times New Roman" w:cs="Times New Roman"/>
        </w:rPr>
        <w:t xml:space="preserve">государственного образовательного стандарта среднего профессионального образования по профессии </w:t>
      </w:r>
      <w:r>
        <w:rPr>
          <w:rFonts w:ascii="Times New Roman" w:hAnsi="Times New Roman" w:cs="Times New Roman"/>
        </w:rPr>
        <w:t xml:space="preserve">18.01.34</w:t>
      </w:r>
      <w:r>
        <w:rPr>
          <w:rFonts w:ascii="Times New Roman" w:hAnsi="Times New Roman" w:cs="Times New Roman"/>
        </w:rPr>
        <w:t xml:space="preserve"> Лаборант по контролю качества сырья, реактивов, промежуточных продуктов, готовой продукции, отходов производства (по отраслям) (зарегистрирован Министерством юстиции Российской Федерации </w:t>
      </w:r>
      <w:r>
        <w:rPr>
          <w:rFonts w:ascii="Times New Roman" w:hAnsi="Times New Roman" w:cs="Times New Roman"/>
        </w:rPr>
        <w:t xml:space="preserve">15.12.2023</w:t>
      </w:r>
      <w:r>
        <w:rPr>
          <w:rFonts w:ascii="Times New Roman" w:hAnsi="Times New Roman" w:cs="Times New Roman"/>
        </w:rPr>
        <w:t xml:space="preserve">, регистрационный № </w:t>
      </w:r>
      <w:r>
        <w:rPr>
          <w:rFonts w:ascii="Times New Roman" w:hAnsi="Times New Roman" w:cs="Times New Roman"/>
        </w:rPr>
        <w:t xml:space="preserve">76437</w:t>
      </w:r>
      <w:r>
        <w:rPr>
          <w:rFonts w:ascii="Times New Roman" w:hAnsi="Times New Roman" w:cs="Times New Roman"/>
        </w:rPr>
        <w:t xml:space="preserve">);</w:t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tabs>
          <w:tab w:val="left" w:pos="993" w:leader="none"/>
        </w:tabs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Приказ ФГБОУ ДПО ИРПО от 22.07.2023 № П-291 «Об утверждении методики проведения демонстрационного экзамена»;</w:t>
      </w:r>
      <w:r>
        <w:rPr>
          <w:rFonts w:ascii="Times New Roman" w:hAnsi="Times New Roman" w:cs="Times New Roman"/>
          <w:bCs/>
        </w:rPr>
      </w:r>
    </w:p>
    <w:p>
      <w:pPr>
        <w:ind w:firstLine="567"/>
        <w:jc w:val="both"/>
        <w:tabs>
          <w:tab w:val="left" w:pos="993" w:leader="none"/>
        </w:tabs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нормативные локальные акты ГАПОУ «Оренбургский государственный колледж».</w:t>
      </w:r>
      <w:r>
        <w:rPr>
          <w:rFonts w:ascii="Times New Roman" w:hAnsi="Times New Roman" w:cs="Times New Roman"/>
          <w:bCs/>
        </w:rPr>
      </w:r>
    </w:p>
    <w:p>
      <w:pPr>
        <w:pStyle w:val="768"/>
        <w:ind w:firstLine="567"/>
        <w:jc w:val="both"/>
        <w:rPr>
          <w:rFonts w:ascii="Times New Roman" w:hAnsi="Times New Roman" w:cs="Times New Roman"/>
        </w:rPr>
      </w:pPr>
      <w:r>
        <w:rPr>
          <w:rStyle w:val="724"/>
          <w:rFonts w:ascii="Times New Roman" w:hAnsi="Times New Roman" w:eastAsia="Courier New" w:cs="Times New Roman"/>
          <w:i w:val="0"/>
          <w:spacing w:val="0"/>
          <w:sz w:val="24"/>
          <w:szCs w:val="24"/>
        </w:rPr>
        <w:t xml:space="preserve">1.3 </w:t>
      </w:r>
      <w:r>
        <w:rPr>
          <w:rFonts w:ascii="Times New Roman" w:hAnsi="Times New Roman" w:cs="Times New Roman"/>
        </w:rPr>
        <w:t xml:space="preserve">Государственная </w:t>
      </w:r>
      <w:r>
        <w:rPr>
          <w:rFonts w:ascii="Times New Roman" w:hAnsi="Times New Roman" w:cs="Times New Roman"/>
        </w:rPr>
        <w:t xml:space="preserve">итоговая аттестация проводится с целью </w:t>
      </w:r>
      <w:r>
        <w:rPr>
          <w:rFonts w:ascii="Times New Roman" w:hAnsi="Times New Roman" w:cs="Times New Roman"/>
        </w:rPr>
        <w:t xml:space="preserve">определения:</w:t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соответствия р</w:t>
      </w:r>
      <w:r>
        <w:rPr>
          <w:rFonts w:ascii="Times New Roman" w:hAnsi="Times New Roman" w:cs="Times New Roman"/>
        </w:rPr>
        <w:t xml:space="preserve">езультатов освоения обучающихся</w:t>
      </w:r>
      <w:r>
        <w:rPr>
          <w:rFonts w:ascii="Times New Roman" w:hAnsi="Times New Roman" w:cs="Times New Roman"/>
        </w:rPr>
        <w:t xml:space="preserve"> программы подготовки квалифицированных рабочих, служащих по профессии </w:t>
      </w:r>
      <w:r>
        <w:rPr>
          <w:rFonts w:ascii="Times New Roman" w:hAnsi="Times New Roman" w:cs="Times New Roman"/>
        </w:rPr>
        <w:t xml:space="preserve">18.01.34</w:t>
      </w:r>
      <w:r>
        <w:rPr>
          <w:rFonts w:ascii="Times New Roman" w:hAnsi="Times New Roman" w:cs="Times New Roman"/>
        </w:rPr>
        <w:t xml:space="preserve"> Лаборант по контролю качества сырья, реактивов, промежуточных продуктов, готовой продукции, отходов производства (по отраслям)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соответствующим требованиям федерального государственного образовательного стандарта среднего профессионального образования и работодателей;</w:t>
      </w:r>
      <w:r>
        <w:rPr>
          <w:rFonts w:ascii="Times New Roman" w:hAnsi="Times New Roman" w:cs="Times New Roman"/>
        </w:rPr>
      </w:r>
    </w:p>
    <w:p>
      <w:pPr>
        <w:pStyle w:val="76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готовности выпускника к следующим видам деятельности и сформированности у выпускника соответствующих профессиональных компетенций (ПК):</w:t>
      </w:r>
      <w:r>
        <w:rPr>
          <w:rFonts w:ascii="Times New Roman" w:hAnsi="Times New Roman" w:cs="Times New Roman"/>
        </w:rPr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1134"/>
        <w:gridCol w:w="9007"/>
      </w:tblGrid>
      <w:tr>
        <w:tblPrEx/>
        <w:trPr/>
        <w:tc>
          <w:tcPr>
            <w:tcW w:w="559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ПМ</w:t>
            </w:r>
            <w:r>
              <w:rPr>
                <w:rFonts w:ascii="Times New Roman" w:hAnsi="Times New Roman" w:cs="Times New Roman"/>
              </w:rPr>
              <w:t xml:space="preserve"> 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4441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</w:t>
            </w:r>
            <w:r>
              <w:rPr>
                <w:rFonts w:ascii="Times New Roman" w:hAnsi="Times New Roman" w:cs="Times New Roman"/>
              </w:rPr>
              <w:t xml:space="preserve">условий для проведения химического анализа</w:t>
            </w:r>
            <w:r>
              <w:rPr>
                <w:rFonts w:ascii="Times New Roman" w:hAnsi="Times New Roman" w:cs="Times New Roman"/>
              </w:rPr>
              <w:t xml:space="preserve">.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59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ПМ 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4441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Осуществление экологического контроля природных объектов, производства и технологического процесса</w:t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Style w:val="76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1.3</w:t>
      </w:r>
      <w:r>
        <w:rPr>
          <w:rFonts w:ascii="Times New Roman" w:hAnsi="Times New Roman" w:cs="Times New Roman"/>
        </w:rPr>
        <w:t xml:space="preserve"> В соответствии с ФГОС СПО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18.01.34</w:t>
      </w:r>
      <w:r>
        <w:rPr>
          <w:rFonts w:ascii="Times New Roman" w:hAnsi="Times New Roman" w:cs="Times New Roman"/>
        </w:rPr>
        <w:t xml:space="preserve">   Лаборант по контролю качества сырья, реактивов, промежуточных продуктов, готовой продукции, отходов производства (по отраслям) г</w:t>
      </w:r>
      <w:r>
        <w:rPr>
          <w:rFonts w:ascii="Times New Roman" w:hAnsi="Times New Roman" w:cs="Times New Roman"/>
        </w:rPr>
        <w:t xml:space="preserve">осударственная итоговая аттестация по ППКРС </w:t>
      </w:r>
      <w:r>
        <w:rPr>
          <w:rFonts w:ascii="Times New Roman" w:hAnsi="Times New Roman" w:cs="Times New Roman"/>
        </w:rPr>
        <w:t xml:space="preserve">проводится в форме </w:t>
      </w:r>
      <w:r>
        <w:rPr>
          <w:rFonts w:ascii="Times New Roman" w:hAnsi="Times New Roman" w:cs="Times New Roman"/>
        </w:rPr>
        <w:t xml:space="preserve">демонстрационного </w:t>
      </w:r>
      <w:r>
        <w:rPr>
          <w:rFonts w:ascii="Times New Roman" w:hAnsi="Times New Roman" w:cs="Times New Roman"/>
        </w:rPr>
        <w:t xml:space="preserve">экзамена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Демонстрационный экзамен предусматривает моделирование реальных производственных условий для решения выпускниками практических задач профессиональной деятельности.</w:t>
      </w:r>
      <w:r>
        <w:rPr>
          <w:rFonts w:ascii="Times New Roman" w:hAnsi="Times New Roman" w:cs="Times New Roman"/>
        </w:rPr>
      </w:r>
    </w:p>
    <w:p>
      <w:pPr>
        <w:pStyle w:val="76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68"/>
        <w:ind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2. </w:t>
      </w:r>
      <w:r>
        <w:rPr>
          <w:rFonts w:ascii="Times New Roman" w:hAnsi="Times New Roman" w:cs="Times New Roman"/>
          <w:b/>
        </w:rPr>
        <w:t xml:space="preserve">Процедура проведения государственной итоговой аттестации</w:t>
      </w:r>
      <w:r>
        <w:rPr>
          <w:rFonts w:ascii="Times New Roman" w:hAnsi="Times New Roman" w:cs="Times New Roman"/>
          <w:b/>
        </w:rPr>
      </w:r>
    </w:p>
    <w:p>
      <w:pPr>
        <w:pStyle w:val="768"/>
        <w:ind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firstLine="709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</w:rPr>
        <w:t xml:space="preserve">В соответствии с ФГОС СПО по 18.01.34   Лаборант по контролю качества сырья, реактивов, промежуточных продуктов, готовой продукции, отходов производства (по отраслям) государственная итоговая аттестация проводится в форме демонстрационного экзамена.</w:t>
      </w:r>
      <w:r>
        <w:rPr>
          <w:rFonts w:ascii="Times New Roman" w:hAnsi="Times New Roman" w:cs="Times New Roman"/>
          <w:bCs/>
          <w:iCs/>
        </w:rPr>
        <w:t xml:space="preserve"> </w:t>
      </w:r>
      <w:r>
        <w:rPr>
          <w:rFonts w:ascii="Times New Roman" w:hAnsi="Times New Roman" w:cs="Times New Roman"/>
          <w:bCs/>
          <w:iCs/>
        </w:rPr>
      </w:r>
    </w:p>
    <w:p>
      <w:pPr>
        <w:ind w:firstLine="709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 xml:space="preserve">Демонстрационный экзамен направлен на определение уровня освоения выпускником </w:t>
      </w:r>
      <w:r>
        <w:rPr>
          <w:rFonts w:ascii="Times New Roman" w:hAnsi="Times New Roman" w:cs="Times New Roman"/>
          <w:bCs/>
          <w:iCs/>
        </w:rPr>
        <w:t xml:space="preserve">материала, предусм</w:t>
      </w:r>
      <w:r>
        <w:rPr>
          <w:rFonts w:ascii="Times New Roman" w:hAnsi="Times New Roman" w:cs="Times New Roman"/>
          <w:bCs/>
          <w:iCs/>
        </w:rPr>
        <w:t xml:space="preserve">отренного образовательной программой и степени сформированности профессиональных умений и навыков путем проведения независимой экспертной оценки выполненных выпускником практических заданий в условиях реальных и смоделированных производственных процессов. </w:t>
      </w:r>
      <w:r>
        <w:rPr>
          <w:rFonts w:ascii="Times New Roman" w:hAnsi="Times New Roman" w:cs="Times New Roman"/>
          <w:bCs/>
          <w:iCs/>
        </w:rPr>
      </w: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iCs/>
        </w:rPr>
        <w:t xml:space="preserve">Демонстрационный экзамен проводится </w:t>
      </w:r>
      <w:r>
        <w:rPr>
          <w:rFonts w:ascii="Times New Roman" w:hAnsi="Times New Roman" w:cs="Times New Roman"/>
        </w:rPr>
        <w:t xml:space="preserve">по материалам КИМ, представляющим комплекс требований для проведения демонстрационного экзамена, перечень оборудования и оснащения, расходных материалов, сре</w:t>
      </w:r>
      <w:r>
        <w:rPr>
          <w:rFonts w:ascii="Times New Roman" w:hAnsi="Times New Roman" w:cs="Times New Roman"/>
        </w:rPr>
        <w:t xml:space="preserve">дств обучения и воспитания, примерный план застройки площадки демонстрационного экзамена, требования к составу экспертных групп, условия привлечения добровольцев (волонтеров) (при необходимости), инструкции по технике безопасности, а также образцы заданий.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Задание демонстрационного экзамена включает комплексную практическую задачу, моделирующую профессиональную деятельность и выполняемую в режиме реального времени.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iCs/>
        </w:rPr>
        <w:t xml:space="preserve">2.2</w:t>
      </w:r>
      <w:r>
        <w:rPr>
          <w:rFonts w:ascii="Times New Roman" w:hAnsi="Times New Roman" w:cs="Times New Roman"/>
        </w:rPr>
        <w:t xml:space="preserve"> Место проведения государственной итоговой аттестации: Центр проведения демонстрационного экзамена (ЦПДЭ) – ГАПОУ «ОГК».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 ФГОС СПО по профессии </w:t>
      </w:r>
      <w:r>
        <w:rPr>
          <w:rFonts w:ascii="Times New Roman" w:hAnsi="Times New Roman" w:cs="Times New Roman"/>
          <w:bCs/>
        </w:rPr>
        <w:t xml:space="preserve">18.01.34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Лаборант по контролю качества сырья, реактивов, промежуточных продуктов, готовой продукции, отходов производства (по отраслям)</w:t>
      </w:r>
      <w:r>
        <w:rPr>
          <w:rFonts w:ascii="Times New Roman" w:hAnsi="Times New Roman" w:cs="Times New Roman"/>
          <w:iCs/>
        </w:rPr>
        <w:t xml:space="preserve">,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</w:rPr>
        <w:t xml:space="preserve">рабочим учебным планом и календарным учебным графиком отведено на подготовку и проведение государственной итоговой аттестации 1 неделя: с «22» июня по «28» июня 2027 г.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68"/>
        <w:jc w:val="center"/>
        <w:tabs>
          <w:tab w:val="left" w:pos="1134" w:leader="none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3. Подготовка проведения государственной итоговой аттестации</w:t>
      </w:r>
      <w:r>
        <w:rPr>
          <w:rFonts w:ascii="Times New Roman" w:hAnsi="Times New Roman" w:cs="Times New Roman"/>
          <w:b/>
        </w:rPr>
      </w:r>
    </w:p>
    <w:p>
      <w:pPr>
        <w:pStyle w:val="768"/>
        <w:jc w:val="both"/>
        <w:tabs>
          <w:tab w:val="left" w:pos="1134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68"/>
        <w:jc w:val="both"/>
        <w:tabs>
          <w:tab w:val="left" w:pos="1134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68"/>
        <w:ind w:firstLine="567"/>
        <w:jc w:val="both"/>
        <w:tabs>
          <w:tab w:val="left" w:pos="1134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 Для проведения государственной итоговой аттестации в форме демонстрационного экзамена по профессии </w:t>
      </w:r>
      <w:r>
        <w:rPr>
          <w:rFonts w:ascii="Times New Roman" w:hAnsi="Times New Roman" w:cs="Times New Roman"/>
          <w:bCs/>
        </w:rPr>
        <w:t xml:space="preserve">18.01.34 Лаборант по контролю качества сырья, реактивов, промежуточных продуктов, готовой продукции, отходов производства (по отраслям)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</w:rPr>
        <w:t xml:space="preserve">Министерством образования Оренбургской области создается единая ГЭК.</w:t>
      </w:r>
      <w:r>
        <w:rPr>
          <w:rFonts w:ascii="Times New Roman" w:hAnsi="Times New Roman" w:cs="Times New Roman"/>
        </w:rPr>
      </w:r>
    </w:p>
    <w:p>
      <w:pPr>
        <w:pStyle w:val="768"/>
        <w:ind w:firstLine="567"/>
        <w:jc w:val="both"/>
        <w:tabs>
          <w:tab w:val="left" w:pos="1134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ГЭК формируется из педагогических работников и иных работников образовательных организаций, лиц, приглашенных из сторонних организаций в том числе: педагогических работников,  п</w:t>
      </w:r>
      <w:r>
        <w:rPr>
          <w:rFonts w:ascii="Times New Roman" w:hAnsi="Times New Roman" w:cs="Times New Roman"/>
        </w:rPr>
        <w:t xml:space="preserve">редставителей работодателей, направление деятельности которых соответствует области профессиональной деятельности, к которой готовятся выпускники. Состав ГЭК утверждается Министерством образования Оренбургской области  не позднее 15 ноября года 2026 года. </w:t>
      </w:r>
      <w:r>
        <w:rPr>
          <w:rFonts w:ascii="Times New Roman" w:hAnsi="Times New Roman" w:cs="Times New Roman"/>
        </w:rPr>
      </w:r>
    </w:p>
    <w:p>
      <w:pPr>
        <w:pStyle w:val="768"/>
        <w:ind w:firstLine="567"/>
        <w:jc w:val="both"/>
        <w:tabs>
          <w:tab w:val="left" w:pos="1134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 Экспертную группу возглавляет администратор центра проведения экзамена, который  не входит в состав экспертной группы.</w:t>
      </w:r>
      <w:r>
        <w:rPr>
          <w:rFonts w:ascii="Times New Roman" w:hAnsi="Times New Roman" w:cs="Times New Roman"/>
        </w:rPr>
      </w:r>
    </w:p>
    <w:p>
      <w:pPr>
        <w:pStyle w:val="768"/>
        <w:ind w:firstLine="567"/>
        <w:jc w:val="both"/>
        <w:tabs>
          <w:tab w:val="left" w:pos="1134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3.3Адми</w:t>
      </w:r>
      <w:r>
        <w:rPr>
          <w:rFonts w:ascii="Times New Roman" w:hAnsi="Times New Roman" w:cs="Times New Roman"/>
        </w:rPr>
        <w:t xml:space="preserve">нистратор центра проведения экзамена организует и контролирует деятельность возглавляемой экспертной группы, обеспечивает соблюдение всех требований к проведению демонстрационного экзамена и не участвует в оценивании результатов демонстрационного экзамена.</w:t>
      </w:r>
      <w:r>
        <w:rPr>
          <w:rFonts w:ascii="Times New Roman" w:hAnsi="Times New Roman" w:cs="Times New Roman"/>
        </w:rPr>
      </w:r>
    </w:p>
    <w:p>
      <w:pPr>
        <w:pStyle w:val="768"/>
        <w:ind w:firstLine="567"/>
        <w:jc w:val="both"/>
        <w:tabs>
          <w:tab w:val="left" w:pos="1134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3.4 К государственной итоговой аттестации допускаются выпускники, не имеющие академической задолженности и в полном объеме выполнившие учебный план или индивидуальный учебный план.</w:t>
      </w:r>
      <w:r>
        <w:rPr>
          <w:rFonts w:ascii="Times New Roman" w:hAnsi="Times New Roman" w:cs="Times New Roman"/>
        </w:rPr>
      </w:r>
    </w:p>
    <w:p>
      <w:pPr>
        <w:pStyle w:val="768"/>
        <w:ind w:firstLine="567"/>
        <w:jc w:val="both"/>
        <w:tabs>
          <w:tab w:val="left" w:pos="1134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3.5 ГЭК возглавляет председатель, являющийся руководителем или заместителем руководителя м</w:t>
      </w:r>
      <w:r>
        <w:rPr>
          <w:rFonts w:ascii="Times New Roman" w:hAnsi="Times New Roman" w:cs="Times New Roman"/>
          <w:iCs/>
        </w:rPr>
        <w:t xml:space="preserve">инистерства образования Оренбургской области.</w:t>
      </w:r>
      <w:r>
        <w:rPr>
          <w:rFonts w:ascii="Times New Roman" w:hAnsi="Times New Roman" w:cs="Times New Roman"/>
        </w:rPr>
      </w:r>
    </w:p>
    <w:p>
      <w:pPr>
        <w:pStyle w:val="768"/>
        <w:ind w:firstLine="567"/>
        <w:jc w:val="both"/>
        <w:tabs>
          <w:tab w:val="left" w:pos="1134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iCs/>
        </w:rPr>
        <w:t xml:space="preserve">3.6</w:t>
      </w:r>
      <w:r>
        <w:rPr>
          <w:rFonts w:ascii="Times New Roman" w:hAnsi="Times New Roman" w:cs="Times New Roman"/>
        </w:rPr>
        <w:t xml:space="preserve"> Программа государственной итоговой аттестации разрабатывается не менее чем за шесть месяцев до государственной итоговой аттестации, рассматривается на педагогическом совете, утверждается директором колледжа, и доводится до сведения обучающихся.</w:t>
      </w:r>
      <w:r>
        <w:rPr>
          <w:rFonts w:ascii="Times New Roman" w:hAnsi="Times New Roman" w:cs="Times New Roman"/>
        </w:rPr>
      </w:r>
    </w:p>
    <w:p>
      <w:pPr>
        <w:pStyle w:val="768"/>
        <w:jc w:val="both"/>
        <w:tabs>
          <w:tab w:val="left" w:pos="1134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68"/>
        <w:ind w:firstLine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6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4. Проведение государственной итоговой аттестации</w:t>
      </w:r>
      <w:r>
        <w:rPr>
          <w:rFonts w:ascii="Times New Roman" w:hAnsi="Times New Roman" w:cs="Times New Roman"/>
          <w:b/>
        </w:rPr>
      </w:r>
    </w:p>
    <w:p>
      <w:pPr>
        <w:pStyle w:val="76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6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 Демонстрационный экзамен проводится с использованием КИМ.</w:t>
      </w:r>
      <w:r>
        <w:rPr>
          <w:rFonts w:ascii="Times New Roman" w:hAnsi="Times New Roman" w:cs="Times New Roman"/>
        </w:rPr>
      </w:r>
    </w:p>
    <w:p>
      <w:pPr>
        <w:pStyle w:val="76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 Место расположения центра проведения экзамена, дата и время начала проведения демонстрационного экзамена, расписание сдачи экзаменов в составе экзаменационных групп, </w:t>
      </w:r>
      <w:r>
        <w:rPr>
          <w:rFonts w:ascii="Times New Roman" w:hAnsi="Times New Roman" w:cs="Times New Roman"/>
        </w:rPr>
        <w:t xml:space="preserve">планируемая продолжительность проведения </w:t>
      </w:r>
      <w:r>
        <w:rPr>
          <w:rFonts w:ascii="Times New Roman" w:hAnsi="Times New Roman" w:cs="Times New Roman"/>
        </w:rPr>
        <w:t xml:space="preserve">демонстрационного экзамена, технические перерывы в проведении демонстрационного экзамена определяются планом проведения демонстрационного экзамена, утверждаемым ГЭК не позднее чем за двадцать календарных дней до даты проведения демонстрационного экзамена. </w:t>
      </w:r>
      <w:r>
        <w:rPr>
          <w:rFonts w:ascii="Times New Roman" w:hAnsi="Times New Roman" w:cs="Times New Roman"/>
        </w:rPr>
      </w:r>
    </w:p>
    <w:p>
      <w:pPr>
        <w:pStyle w:val="76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Заведующий отделением знакомит с планом проведения демонстрационного экзамена выпускников, сдающих демонстрационный экзамен и лиц, обеспечивающих проведение демонстрационного экзамена в срок не позднее чем за пять рабочих дней до даты проведения экзамена.</w:t>
      </w:r>
      <w:r>
        <w:rPr>
          <w:rFonts w:ascii="Times New Roman" w:hAnsi="Times New Roman" w:cs="Times New Roman"/>
        </w:rPr>
      </w:r>
    </w:p>
    <w:p>
      <w:pPr>
        <w:pStyle w:val="76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4.3 Не позднее чем за один рабочий день до даты проведения демонстрационного экзамена администратором центра проведения экзамена проводится проверка готовности ЦПДЭ в присут</w:t>
      </w:r>
      <w:r>
        <w:rPr>
          <w:rFonts w:ascii="Times New Roman" w:hAnsi="Times New Roman" w:cs="Times New Roman"/>
        </w:rPr>
        <w:t xml:space="preserve">ствии членов экспертной группы, выпускников, а также технического эксперта, назначаемого организацией, на территории которой расположен центр проведения экзамена, ответственного за соблюдение установленных норм и правил охраны труда и техники безопасности.</w:t>
      </w:r>
      <w:r>
        <w:rPr>
          <w:rFonts w:ascii="Times New Roman" w:hAnsi="Times New Roman" w:cs="Times New Roman"/>
        </w:rPr>
      </w:r>
    </w:p>
    <w:p>
      <w:pPr>
        <w:pStyle w:val="76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Администратором центра проведения экзамена осуществляется осмотр центра проведения экзамена, распределение обязанностей между членами экспертной группы по оценке выполнения заданий демонстрационного экзамена, а также распределение рабочих мест между вып</w:t>
      </w:r>
      <w:r>
        <w:rPr>
          <w:rFonts w:ascii="Times New Roman" w:hAnsi="Times New Roman" w:cs="Times New Roman"/>
        </w:rPr>
        <w:t xml:space="preserve">ускниками с использованием способа случайной выборки. Результаты распределения обязанностей между членами экспертной группы и распределения рабочих мест между выпускниками фиксируются администратором центра проведения экзамена в соответствующих протоколах.</w:t>
      </w:r>
      <w:r>
        <w:rPr>
          <w:rFonts w:ascii="Times New Roman" w:hAnsi="Times New Roman" w:cs="Times New Roman"/>
        </w:rPr>
      </w:r>
    </w:p>
    <w:p>
      <w:pPr>
        <w:pStyle w:val="76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4.4  Технический эксперт под подпись знакомит администратора центра проведения экзамена, членов экспертной группы, выпускников с требованиями охраны труда и безопасности производства.</w:t>
      </w:r>
      <w:r>
        <w:rPr>
          <w:rFonts w:ascii="Times New Roman" w:hAnsi="Times New Roman" w:cs="Times New Roman"/>
        </w:rPr>
      </w:r>
    </w:p>
    <w:p>
      <w:pPr>
        <w:pStyle w:val="76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4.5 В день проведения демонстрационного экзамена в центре проведения экзамена присутствуют:</w:t>
      </w:r>
      <w:r>
        <w:rPr>
          <w:rFonts w:ascii="Times New Roman" w:hAnsi="Times New Roman" w:cs="Times New Roman"/>
        </w:rPr>
      </w:r>
    </w:p>
    <w:p>
      <w:pPr>
        <w:pStyle w:val="76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руководитель (уполномоченный представитель) организации, на базе которой организован центр проведения экзамена;</w:t>
      </w:r>
      <w:r>
        <w:rPr>
          <w:rFonts w:ascii="Times New Roman" w:hAnsi="Times New Roman" w:cs="Times New Roman"/>
        </w:rPr>
      </w:r>
    </w:p>
    <w:p>
      <w:pPr>
        <w:pStyle w:val="76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б) не менее одного члена ГЭК, не считая членов экспертной группы;</w:t>
      </w:r>
      <w:r>
        <w:rPr>
          <w:rFonts w:ascii="Times New Roman" w:hAnsi="Times New Roman" w:cs="Times New Roman"/>
        </w:rPr>
      </w:r>
    </w:p>
    <w:p>
      <w:pPr>
        <w:pStyle w:val="76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члены экспертной группы;</w:t>
      </w:r>
      <w:r>
        <w:rPr>
          <w:rFonts w:ascii="Times New Roman" w:hAnsi="Times New Roman" w:cs="Times New Roman"/>
        </w:rPr>
      </w:r>
    </w:p>
    <w:p>
      <w:pPr>
        <w:pStyle w:val="76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г) администратор центра проведения экзамена;</w:t>
      </w:r>
      <w:r>
        <w:rPr>
          <w:rFonts w:ascii="Times New Roman" w:hAnsi="Times New Roman" w:cs="Times New Roman"/>
        </w:rPr>
      </w:r>
    </w:p>
    <w:p>
      <w:pPr>
        <w:pStyle w:val="76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д) выпускники;</w:t>
      </w:r>
      <w:r>
        <w:rPr>
          <w:rFonts w:ascii="Times New Roman" w:hAnsi="Times New Roman" w:cs="Times New Roman"/>
        </w:rPr>
      </w:r>
    </w:p>
    <w:p>
      <w:pPr>
        <w:pStyle w:val="76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е) технический эксперт;</w:t>
      </w:r>
      <w:r>
        <w:rPr>
          <w:rFonts w:ascii="Times New Roman" w:hAnsi="Times New Roman" w:cs="Times New Roman"/>
        </w:rPr>
      </w:r>
    </w:p>
    <w:p>
      <w:pPr>
        <w:pStyle w:val="76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ж) организаторы, назначенные образовательной организацией из числа педагогических работников, оказывающие содействие администратору центра проведения экзамена в обеспечении соблюдения всех требований к проведению демонстрационного экзамена.</w:t>
      </w:r>
      <w:r>
        <w:rPr>
          <w:rFonts w:ascii="Times New Roman" w:hAnsi="Times New Roman" w:cs="Times New Roman"/>
        </w:rPr>
      </w:r>
    </w:p>
    <w:p>
      <w:pPr>
        <w:pStyle w:val="76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 отсутствия в день проведения демонст</w:t>
      </w:r>
      <w:r>
        <w:rPr>
          <w:rFonts w:ascii="Times New Roman" w:hAnsi="Times New Roman" w:cs="Times New Roman"/>
        </w:rPr>
        <w:t xml:space="preserve">рационного экзамена в ЦПДЭ лиц, указанных в настоящем пункте, решение о проведении демонстрационного экзамена принимается администратором центра проведения экзамена, о чём им вносится соответствующая запись в протокол проведения демонстрационного экзамена.</w:t>
      </w:r>
      <w:r>
        <w:rPr>
          <w:rFonts w:ascii="Times New Roman" w:hAnsi="Times New Roman" w:cs="Times New Roman"/>
        </w:rPr>
      </w:r>
    </w:p>
    <w:p>
      <w:pPr>
        <w:pStyle w:val="76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Члены ГЭК, не входящие в состав экспертной группы, наблюдают за ходом проведения демонстрационного экзамена и вправе сообщать администратору центра проведения экзамена о выявленных фактах нарушения Порядка.</w:t>
      </w:r>
      <w:r>
        <w:rPr>
          <w:rFonts w:ascii="Times New Roman" w:hAnsi="Times New Roman" w:cs="Times New Roman"/>
        </w:rPr>
      </w:r>
    </w:p>
    <w:p>
      <w:pPr>
        <w:pStyle w:val="76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4.6 Члены экспертной группы осуществляют оценку выполнения заданий демонстрационного экзамена самостоятельно.</w:t>
      </w:r>
      <w:r>
        <w:rPr>
          <w:rFonts w:ascii="Times New Roman" w:hAnsi="Times New Roman" w:cs="Times New Roman"/>
        </w:rPr>
      </w:r>
    </w:p>
    <w:p>
      <w:pPr>
        <w:pStyle w:val="76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4.7 Администратор центра проведения экзамена вправе давать ука</w:t>
      </w:r>
      <w:r>
        <w:rPr>
          <w:rFonts w:ascii="Times New Roman" w:hAnsi="Times New Roman" w:cs="Times New Roman"/>
        </w:rPr>
        <w:t xml:space="preserve">зания по организации и проведению демонстрационного экзамена, обязательные для выполнения лицами, привлеченными к проведению демонстрационного экзамена, и выпускникам, удалять из центра проведения экзамена лиц, допустивших грубое нарушение требований Поряд</w:t>
      </w:r>
      <w:r>
        <w:rPr>
          <w:rFonts w:ascii="Times New Roman" w:hAnsi="Times New Roman" w:cs="Times New Roman"/>
        </w:rPr>
        <w:t xml:space="preserve">ка, требований охраны труда и безопасности производства, а также останавливать, приостанавливать и возобновлять проведение демонстрационного экзамена при возникновении необходимости устранения грубых нарушений требований Порядка, требований охраны труда и </w:t>
      </w:r>
      <w:r>
        <w:rPr>
          <w:rFonts w:ascii="Times New Roman" w:hAnsi="Times New Roman" w:cs="Times New Roman"/>
        </w:rPr>
        <w:t xml:space="preserve">производственной безопасности.</w:t>
      </w:r>
      <w:r>
        <w:rPr>
          <w:rFonts w:ascii="Times New Roman" w:hAnsi="Times New Roman" w:cs="Times New Roman"/>
        </w:rPr>
      </w:r>
    </w:p>
    <w:p>
      <w:pPr>
        <w:pStyle w:val="76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4.8 Админ</w:t>
      </w:r>
      <w:r>
        <w:rPr>
          <w:rFonts w:ascii="Times New Roman" w:hAnsi="Times New Roman" w:cs="Times New Roman"/>
        </w:rPr>
        <w:t xml:space="preserve">истратор центра проведения экзамена обязан находиться в центре проведения экзамена до окончания демонстрационного экзамена, осуществлять контроль за соблюдением лицами, привлеченными к проведению демонстрационного экзамена, выпускниками требований Порядка.</w:t>
      </w:r>
      <w:r>
        <w:rPr>
          <w:rFonts w:ascii="Times New Roman" w:hAnsi="Times New Roman" w:cs="Times New Roman"/>
        </w:rPr>
      </w:r>
    </w:p>
    <w:p>
      <w:pPr>
        <w:pStyle w:val="76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4.9 Технический эксперт вправ</w:t>
      </w:r>
      <w:r>
        <w:rPr>
          <w:rFonts w:ascii="Times New Roman" w:hAnsi="Times New Roman" w:cs="Times New Roman"/>
        </w:rPr>
        <w:t xml:space="preserve">е наблюдать за ходом проведения демонстрационного экзамена; давать разъяснения и указания лицам, привлеченным к проведению демонстрационного экзамена, выпускникам по вопросам соблюдения требований охраны труда и производственной безопасности; сообщать адми</w:t>
      </w:r>
      <w:r>
        <w:rPr>
          <w:rFonts w:ascii="Times New Roman" w:hAnsi="Times New Roman" w:cs="Times New Roman"/>
        </w:rPr>
        <w:t xml:space="preserve">нистратору центра проведения экзамена о выявленных случаях нарушений лицами, привлеченными к проведению демонстрационного экзамена, выпускниками требований охраны труда и требований производственной безопасности; останавливать в случаях, требующих немедлен</w:t>
      </w:r>
      <w:r>
        <w:rPr>
          <w:rFonts w:ascii="Times New Roman" w:hAnsi="Times New Roman" w:cs="Times New Roman"/>
        </w:rPr>
        <w:t xml:space="preserve">ного решения, в целях охраны жизни и здоровья лиц, привлеченных к проведению демонстрационного экзамена, выпускников действия выпускников по выполнению заданий, действия других лиц, находящихся в центре проведения экзамена с уведомлением главного эксперта.</w:t>
      </w:r>
      <w:r>
        <w:rPr>
          <w:rFonts w:ascii="Times New Roman" w:hAnsi="Times New Roman" w:cs="Times New Roman"/>
        </w:rPr>
      </w:r>
    </w:p>
    <w:p>
      <w:pPr>
        <w:pStyle w:val="76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4.10  Выпускники вправе: пользоваться оборудованием центра проведения экзамена, необходимыми материалами, средствами обучения и воспитания в соответствии с требованиями комплекта оценочной документации, задания демонстрационного экзамена;</w:t>
      </w:r>
      <w:r>
        <w:rPr>
          <w:rFonts w:ascii="Times New Roman" w:hAnsi="Times New Roman" w:cs="Times New Roman"/>
        </w:rPr>
      </w:r>
    </w:p>
    <w:p>
      <w:pPr>
        <w:pStyle w:val="76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получать разъяснения технического эксперта по вопросам безопасной и бесперебойной эксплуатации оборудования центра проведения экзамена;</w:t>
      </w:r>
      <w:r>
        <w:rPr>
          <w:rFonts w:ascii="Times New Roman" w:hAnsi="Times New Roman" w:cs="Times New Roman"/>
        </w:rPr>
      </w:r>
    </w:p>
    <w:p>
      <w:pPr>
        <w:pStyle w:val="76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получить копию задания демонстрационного экзамена на бумажном носителе;</w:t>
      </w:r>
      <w:r>
        <w:rPr>
          <w:rFonts w:ascii="Times New Roman" w:hAnsi="Times New Roman" w:cs="Times New Roman"/>
        </w:rPr>
      </w:r>
    </w:p>
    <w:p>
      <w:pPr>
        <w:pStyle w:val="76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Выпускники обязаны: во время проведения демонстрационного экзамена не пользоваться и не иметь при себе средства связи, носители информации, средства ее передачи и хранения, если это прямо не предусмотрено комплектом оценочной документации;</w:t>
      </w:r>
      <w:r>
        <w:rPr>
          <w:rFonts w:ascii="Times New Roman" w:hAnsi="Times New Roman" w:cs="Times New Roman"/>
        </w:rPr>
      </w:r>
    </w:p>
    <w:p>
      <w:pPr>
        <w:pStyle w:val="76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 время проведения демонстрационного экзамена использовать только средства обучения и воспитания, разрешенные комплектом оценочной документации;</w:t>
      </w:r>
      <w:r>
        <w:rPr>
          <w:rFonts w:ascii="Times New Roman" w:hAnsi="Times New Roman" w:cs="Times New Roman"/>
        </w:rPr>
      </w:r>
    </w:p>
    <w:p>
      <w:pPr>
        <w:pStyle w:val="76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 </w:t>
      </w:r>
      <w:r>
        <w:rPr>
          <w:rFonts w:ascii="Times New Roman" w:hAnsi="Times New Roman" w:cs="Times New Roman"/>
        </w:rPr>
        <w:t xml:space="preserve">время проведения демонстрационного экзамена не взаимодействовать с другими выпускниками, экспертами, иными лицами, находящимися в центре проведения экзамена, если это не предусмотрено комплектом оценочной документации и заданием демонстрационного экзамена.</w:t>
      </w:r>
      <w:r>
        <w:rPr>
          <w:rFonts w:ascii="Times New Roman" w:hAnsi="Times New Roman" w:cs="Times New Roman"/>
        </w:rPr>
      </w:r>
    </w:p>
    <w:p>
      <w:pPr>
        <w:pStyle w:val="76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Выпускники могут иметь при себе лекарственные средства и питание, прием которых осуществляется в специально отведенном для этого помещении согласно плану проведения демонстрационного экзамена за пределами центра проведения экзамена.</w:t>
      </w:r>
      <w:r>
        <w:rPr>
          <w:rFonts w:ascii="Times New Roman" w:hAnsi="Times New Roman" w:cs="Times New Roman"/>
        </w:rPr>
      </w:r>
    </w:p>
    <w:p>
      <w:pPr>
        <w:pStyle w:val="76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4.11 После ознакомления с заданиями демонстрационного экзамена выпускники занимают свои рабочие места в соответствии с протоколом распределения рабочих мест.</w:t>
      </w:r>
      <w:r>
        <w:rPr>
          <w:rFonts w:ascii="Times New Roman" w:hAnsi="Times New Roman" w:cs="Times New Roman"/>
        </w:rPr>
      </w:r>
    </w:p>
    <w:p>
      <w:pPr>
        <w:pStyle w:val="76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4.12 После того, как все выпуск</w:t>
      </w:r>
      <w:r>
        <w:rPr>
          <w:rFonts w:ascii="Times New Roman" w:hAnsi="Times New Roman" w:cs="Times New Roman"/>
        </w:rPr>
        <w:t xml:space="preserve">ники и лица, привлеченные к проведению демонстрационного экзамена, займут свои рабочие места в соответствии с требованиями охраны труда и производственной безопасности, администратор центра проведения экзамена объявляет о начале демонстрационного экзамена.</w:t>
      </w:r>
      <w:r>
        <w:rPr>
          <w:rFonts w:ascii="Times New Roman" w:hAnsi="Times New Roman" w:cs="Times New Roman"/>
        </w:rPr>
      </w:r>
    </w:p>
    <w:p>
      <w:pPr>
        <w:pStyle w:val="76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4.13 Время начала демонстрационного экзамена фиксируется в протоколе проведения демонстрационного экзамена, составляемом администратором центра проведения экзамена по каждой экзаменационной группе.</w:t>
      </w:r>
      <w:r>
        <w:rPr>
          <w:rFonts w:ascii="Times New Roman" w:hAnsi="Times New Roman" w:cs="Times New Roman"/>
        </w:rPr>
      </w:r>
    </w:p>
    <w:p>
      <w:pPr>
        <w:pStyle w:val="76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После объявления администратором центра проведения экзамена начала демонстрационного экзамена выпускники приступают к выполнению заданий демонстрационного экзамена.</w:t>
      </w:r>
      <w:r>
        <w:rPr>
          <w:rFonts w:ascii="Times New Roman" w:hAnsi="Times New Roman" w:cs="Times New Roman"/>
        </w:rPr>
      </w:r>
    </w:p>
    <w:p>
      <w:pPr>
        <w:pStyle w:val="76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4.14 Явка выпускника, его рабочее место, время завершения выполнения задания демонстрационного экзамена подлежат фиксации администратором центра проведения экзамена в протоколе проведения демонстрационного экзамена.</w:t>
      </w:r>
      <w:r>
        <w:rPr>
          <w:rFonts w:ascii="Times New Roman" w:hAnsi="Times New Roman" w:cs="Times New Roman"/>
        </w:rPr>
      </w:r>
    </w:p>
    <w:p>
      <w:pPr>
        <w:pStyle w:val="76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4.15 В случае удаления из центра проведения экзамена выпускника, лица, привлеченно</w:t>
      </w:r>
      <w:r>
        <w:rPr>
          <w:rFonts w:ascii="Times New Roman" w:hAnsi="Times New Roman" w:cs="Times New Roman"/>
        </w:rPr>
        <w:t xml:space="preserve">го к проведению демонстрационного экзамена, или присутствующего в центре проведения экзамена, администратором центра проведения экзамена составляется акт об удалении. Результаты ГИА выпускника, удаленного из центра проведения экзамена, аннулируются ГЭК, и </w:t>
      </w:r>
      <w:r>
        <w:rPr>
          <w:rFonts w:ascii="Times New Roman" w:hAnsi="Times New Roman" w:cs="Times New Roman"/>
        </w:rPr>
        <w:t xml:space="preserve">такой выпускник признаётся ГЭК не прошедшим ГИА по неуважительной причине.</w:t>
      </w:r>
      <w:r>
        <w:rPr>
          <w:rFonts w:ascii="Times New Roman" w:hAnsi="Times New Roman" w:cs="Times New Roman"/>
        </w:rPr>
      </w:r>
    </w:p>
    <w:p>
      <w:pPr>
        <w:pStyle w:val="76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4.16 Администратор центра проведения экзамена сообщает выпускникам о течении времени выполнения задания демонстрационного экзамена каждые 60 минут, а также за 30 и 5 минут до окончания времени выполнения задания.</w:t>
      </w:r>
      <w:r>
        <w:rPr>
          <w:rFonts w:ascii="Times New Roman" w:hAnsi="Times New Roman" w:cs="Times New Roman"/>
        </w:rPr>
      </w:r>
    </w:p>
    <w:p>
      <w:pPr>
        <w:pStyle w:val="76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4.15 После объявления администратором центра проведения экзамена окончания времени выполнения заданий выпускники прекращают любые действия по выполнению заданий демонстрационного экзамена.</w:t>
      </w:r>
      <w:r>
        <w:rPr>
          <w:rFonts w:ascii="Times New Roman" w:hAnsi="Times New Roman" w:cs="Times New Roman"/>
        </w:rPr>
      </w:r>
    </w:p>
    <w:p>
      <w:pPr>
        <w:pStyle w:val="76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4.16. Выпускник по собственному желанию может завершить выполнение задания досрочно, уведомив об этом главного эксперта.</w:t>
      </w:r>
      <w:r>
        <w:rPr>
          <w:rFonts w:ascii="Times New Roman" w:hAnsi="Times New Roman" w:cs="Times New Roman"/>
        </w:rPr>
      </w:r>
    </w:p>
    <w:p>
      <w:pPr>
        <w:pStyle w:val="76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4.17 Результаты выполнения выпускниками заданий демонстрационного экзамена подлежат фиксации экспертами экспертной группы в соответствии с требованиями КИМ и задания демонстрационного экзамена.</w:t>
      </w:r>
      <w:r>
        <w:rPr>
          <w:rFonts w:ascii="Times New Roman" w:hAnsi="Times New Roman" w:cs="Times New Roman"/>
        </w:rPr>
      </w:r>
    </w:p>
    <w:p>
      <w:pPr>
        <w:pStyle w:val="76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6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6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5. Оценивание результатов государственной итоговой аттестации</w:t>
      </w:r>
      <w:r>
        <w:rPr>
          <w:rFonts w:ascii="Times New Roman" w:hAnsi="Times New Roman" w:cs="Times New Roman"/>
          <w:b/>
        </w:rPr>
      </w:r>
    </w:p>
    <w:p>
      <w:pPr>
        <w:pStyle w:val="76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6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 Результаты проведения ГИА оцениваются с проставлением одной из отметок: "отлично", "хорошо", "удовлетворительно", "неудовлетворительно" - и объявляются в тот же день после оформления протоколов заседаний ГЭК.</w:t>
      </w:r>
      <w:r>
        <w:rPr>
          <w:rFonts w:ascii="Times New Roman" w:hAnsi="Times New Roman" w:cs="Times New Roman"/>
        </w:rPr>
      </w:r>
    </w:p>
    <w:p>
      <w:pPr>
        <w:pStyle w:val="76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5.2. Процедура оценивания результатов выполнения заданий демонстрационного экзамена осуществляется членами экспертной группы по балльной системе в соответствии с требованиями КИМ.</w:t>
      </w:r>
      <w:r>
        <w:rPr>
          <w:rFonts w:ascii="Times New Roman" w:hAnsi="Times New Roman" w:cs="Times New Roman"/>
        </w:rPr>
      </w:r>
    </w:p>
    <w:p>
      <w:pPr>
        <w:pStyle w:val="76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5.3  Баллы выставляются в протоколе проведения демонстрационного экзамена, который подписывается каждым членом экспертной группы и утверждается администратором центра проведения экзамена после завершения экзамена для экзаменационной группы.</w:t>
      </w:r>
      <w:r>
        <w:rPr>
          <w:rFonts w:ascii="Times New Roman" w:hAnsi="Times New Roman" w:cs="Times New Roman"/>
        </w:rPr>
      </w:r>
    </w:p>
    <w:p>
      <w:pPr>
        <w:pStyle w:val="76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5.4 При выставлении баллов присутствует член ГЭК, не входящий в экспертную группу, присутствие других лиц запрещено.</w:t>
      </w:r>
      <w:r>
        <w:rPr>
          <w:rFonts w:ascii="Times New Roman" w:hAnsi="Times New Roman" w:cs="Times New Roman"/>
        </w:rPr>
      </w:r>
    </w:p>
    <w:p>
      <w:pPr>
        <w:pStyle w:val="76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5.5 Подписанный членами экспертной группы и утвержденный администратором центра проведения э</w:t>
      </w:r>
      <w:r>
        <w:rPr>
          <w:rFonts w:ascii="Times New Roman" w:hAnsi="Times New Roman" w:cs="Times New Roman"/>
        </w:rPr>
        <w:t xml:space="preserve">кзамена протокол проведения демонстрационного экзамена далее передается в ГЭК для выставления оценок по итогам ГИА. Оригинал протокола проведения демонстрационного экзамена передается на хранение в образовательную организацию в составе архивных документов.</w:t>
      </w:r>
      <w:r>
        <w:rPr>
          <w:rFonts w:ascii="Times New Roman" w:hAnsi="Times New Roman" w:cs="Times New Roman"/>
        </w:rPr>
      </w:r>
    </w:p>
    <w:p>
      <w:pPr>
        <w:pStyle w:val="76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5.6 Статус победителя, призера финала чемпионата по профессиональному мастерству "Профессионалы" и финала чемпионата высоких технологий по профилю осв</w:t>
      </w:r>
      <w:r>
        <w:rPr>
          <w:rFonts w:ascii="Times New Roman" w:hAnsi="Times New Roman" w:cs="Times New Roman"/>
        </w:rPr>
        <w:t xml:space="preserve">аиваемой образовательной программы среднего профессионального образования засчитывается выпускнику в качестве оценки "отлично" по демонстрационному экзамену в рамках проведения ГИА по данной образовательной программе среднего профессионального образования.</w:t>
      </w:r>
      <w:r>
        <w:rPr>
          <w:rFonts w:ascii="Times New Roman" w:hAnsi="Times New Roman" w:cs="Times New Roman"/>
        </w:rPr>
      </w:r>
    </w:p>
    <w:p>
      <w:pPr>
        <w:pStyle w:val="76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5.7 В случае досрочного завершения ГИА выпускником по н</w:t>
      </w:r>
      <w:r>
        <w:rPr>
          <w:rFonts w:ascii="Times New Roman" w:hAnsi="Times New Roman" w:cs="Times New Roman"/>
        </w:rPr>
        <w:t xml:space="preserve">езависящим от него причинам результаты ГИА оцениваются по фактически выполненной работе, или по заявлению такого выпускника ГЭК принимается решение об аннулировании результатов ГИА, а такой выпускник признается ГЭК не прошедшим ГИА по уважительной причине.</w:t>
      </w:r>
      <w:r>
        <w:rPr>
          <w:rFonts w:ascii="Times New Roman" w:hAnsi="Times New Roman" w:cs="Times New Roman"/>
        </w:rPr>
      </w:r>
    </w:p>
    <w:p>
      <w:pPr>
        <w:pStyle w:val="76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5.8 Решение ГЭК оформляется протоколом, который подписывается председателем ГЭК, в случае его отсутствия заместителем ГЭК и секретарем ГЭК и хранится в архиве ГАПОУ «ОГК»</w:t>
      </w:r>
      <w:r>
        <w:rPr>
          <w:rFonts w:ascii="Times New Roman" w:hAnsi="Times New Roman" w:cs="Times New Roman"/>
        </w:rPr>
      </w:r>
    </w:p>
    <w:p>
      <w:pPr>
        <w:pStyle w:val="76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5.10 Лицу, завершившему обучение по образовательной программе сре</w:t>
      </w:r>
      <w:r>
        <w:rPr>
          <w:rFonts w:ascii="Times New Roman" w:hAnsi="Times New Roman" w:cs="Times New Roman"/>
        </w:rPr>
        <w:t xml:space="preserve">днего профессионального образования и успешно прошедшему государственную итоговую аттестацию, на основании решения Государственной экзаменационной комиссии выдается диплом о среднем профессиональном образовании и присваивается соответствующая квалификация.</w:t>
      </w:r>
      <w:r>
        <w:rPr>
          <w:rFonts w:ascii="Times New Roman" w:hAnsi="Times New Roman" w:cs="Times New Roman"/>
        </w:rPr>
      </w:r>
    </w:p>
    <w:p>
      <w:pPr>
        <w:pStyle w:val="76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Диплом с отличием выдается при следующих условиях:</w:t>
      </w:r>
      <w:r>
        <w:rPr>
          <w:rFonts w:ascii="Times New Roman" w:hAnsi="Times New Roman" w:cs="Times New Roman"/>
        </w:rPr>
      </w:r>
    </w:p>
    <w:p>
      <w:pPr>
        <w:pStyle w:val="76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все указанные в приложении к диплому оценки по учебным дисциплинам (модулям), курсам, предметам, практикам за исключением оценок «зачтено» являются оценками «отлично» </w:t>
      </w:r>
      <w:r>
        <w:rPr>
          <w:rFonts w:ascii="Times New Roman" w:hAnsi="Times New Roman" w:cs="Times New Roman"/>
        </w:rPr>
        <w:t xml:space="preserve">и «хорошо»; </w:t>
      </w:r>
      <w:r>
        <w:rPr>
          <w:rFonts w:ascii="Times New Roman" w:hAnsi="Times New Roman" w:cs="Times New Roman"/>
        </w:rPr>
      </w:r>
    </w:p>
    <w:p>
      <w:pPr>
        <w:pStyle w:val="76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все оценки по результатам ГИА являются оценками «отлично»;</w:t>
      </w:r>
      <w:r>
        <w:rPr>
          <w:rFonts w:ascii="Times New Roman" w:hAnsi="Times New Roman" w:cs="Times New Roman"/>
        </w:rPr>
      </w:r>
    </w:p>
    <w:p>
      <w:pPr>
        <w:pStyle w:val="76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количество указанных в приложении к диплому оценок «отлично», включая оценки по результатам ГИА, составляют не менее 75% от общего количества оценок, указанных в приложении к диплому за исключением оценок «зачтено».</w:t>
      </w:r>
      <w:r>
        <w:rPr>
          <w:rFonts w:ascii="Times New Roman" w:hAnsi="Times New Roman" w:cs="Times New Roman"/>
        </w:rPr>
      </w:r>
    </w:p>
    <w:p>
      <w:pPr>
        <w:pStyle w:val="76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5.11 Решение ГЭК о выдаче диплома выпускникам оформляется протоколом ГЭК и приказом директора ГАПОУ «ОГК».</w:t>
      </w:r>
      <w:r>
        <w:rPr>
          <w:rFonts w:ascii="Times New Roman" w:hAnsi="Times New Roman" w:cs="Times New Roman"/>
        </w:rPr>
      </w:r>
    </w:p>
    <w:p>
      <w:pPr>
        <w:pStyle w:val="76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6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6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6 . Порядок подачи и рассмотрения апелляций</w:t>
      </w:r>
      <w:r>
        <w:rPr>
          <w:rFonts w:ascii="Times New Roman" w:hAnsi="Times New Roman" w:cs="Times New Roman"/>
          <w:b/>
        </w:rPr>
      </w:r>
    </w:p>
    <w:p>
      <w:pPr>
        <w:pStyle w:val="76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768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результатам ГИА выпускник имеет право подать в апелляционную комиссию письменную апелляцию о нарушении, по его мнению, Порядка и (или) несогласии с результатами ГИА.</w:t>
      </w:r>
      <w:r>
        <w:rPr>
          <w:rFonts w:ascii="Times New Roman" w:hAnsi="Times New Roman" w:cs="Times New Roman"/>
        </w:rPr>
      </w:r>
    </w:p>
    <w:p>
      <w:pPr>
        <w:pStyle w:val="768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6.1 Апелляция подается лично выпускником или родителями (законными представителями) несовершеннолетнего выпускника в апелляционную комиссию образовательной организации.</w:t>
      </w:r>
      <w:r>
        <w:rPr>
          <w:rFonts w:ascii="Times New Roman" w:hAnsi="Times New Roman" w:cs="Times New Roman"/>
        </w:rPr>
      </w:r>
    </w:p>
    <w:p>
      <w:pPr>
        <w:pStyle w:val="768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6.2Апелляция о нарушении Порядка подается непосредственно в день проведения ГИА, в том числе до выхода из центра проведения экзамена.</w:t>
      </w:r>
      <w:r>
        <w:rPr>
          <w:rFonts w:ascii="Times New Roman" w:hAnsi="Times New Roman" w:cs="Times New Roman"/>
        </w:rPr>
      </w:r>
    </w:p>
    <w:p>
      <w:pPr>
        <w:pStyle w:val="768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6.3 Апелляция о несогласии с результатами ГИА подается не позднее следующего рабочего дня после объявления результатов ГИА.</w:t>
      </w:r>
      <w:r>
        <w:rPr>
          <w:rFonts w:ascii="Times New Roman" w:hAnsi="Times New Roman" w:cs="Times New Roman"/>
        </w:rPr>
      </w:r>
    </w:p>
    <w:p>
      <w:pPr>
        <w:pStyle w:val="768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6.4 Апелляция рассматривается апелляционной комиссией не позднее трех рабочих дней с момента ее поступления.</w:t>
      </w:r>
      <w:r>
        <w:rPr>
          <w:rFonts w:ascii="Times New Roman" w:hAnsi="Times New Roman" w:cs="Times New Roman"/>
        </w:rPr>
      </w:r>
    </w:p>
    <w:p>
      <w:pPr>
        <w:pStyle w:val="768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6.5 Состав апелляционной комиссии утверждается образовательной организацией одновременно с утверждением состава ГЭК.</w:t>
      </w:r>
      <w:r>
        <w:rPr>
          <w:rFonts w:ascii="Times New Roman" w:hAnsi="Times New Roman" w:cs="Times New Roman"/>
        </w:rPr>
      </w:r>
    </w:p>
    <w:p>
      <w:pPr>
        <w:pStyle w:val="768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6.6 Апелляция рассматривается на заседании апелляционной комиссии с участием не менее двух третей ее состава.</w:t>
      </w:r>
      <w:r>
        <w:rPr>
          <w:rFonts w:ascii="Times New Roman" w:hAnsi="Times New Roman" w:cs="Times New Roman"/>
        </w:rPr>
      </w:r>
    </w:p>
    <w:p>
      <w:pPr>
        <w:pStyle w:val="768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6.6 На заседание апелляционной комиссии приглашается председатель ГЭК, а также администратор центра проведения экзамена при </w:t>
      </w:r>
      <w:r>
        <w:rPr>
          <w:rFonts w:ascii="Times New Roman" w:hAnsi="Times New Roman" w:cs="Times New Roman"/>
        </w:rPr>
        <w:t xml:space="preserve">проведении ГИА в форме демонстрационного экзамена. При проведении ГИА в форме демонстрационного экзамена по решению председателя апелляционной комиссии к участию в заседании комиссии могут быть также привлечены члены экспертной группы, технический эксперт.</w:t>
      </w:r>
      <w:r>
        <w:rPr>
          <w:rFonts w:ascii="Times New Roman" w:hAnsi="Times New Roman" w:cs="Times New Roman"/>
        </w:rPr>
      </w:r>
    </w:p>
    <w:p>
      <w:pPr>
        <w:pStyle w:val="768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6.7 По решению председателя апелляционной комиссии заседание апелляционной комиссии может пройти с применением средств видео, конференц-связи, а равно посредством предоставления письменных пояснений по поставленным апелляционной комиссией вопросам.</w:t>
      </w:r>
      <w:r>
        <w:rPr>
          <w:rFonts w:ascii="Times New Roman" w:hAnsi="Times New Roman" w:cs="Times New Roman"/>
        </w:rPr>
      </w:r>
    </w:p>
    <w:p>
      <w:pPr>
        <w:pStyle w:val="768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6.8 Выпускн</w:t>
      </w:r>
      <w:r>
        <w:rPr>
          <w:rFonts w:ascii="Times New Roman" w:hAnsi="Times New Roman" w:cs="Times New Roman"/>
        </w:rPr>
        <w:t xml:space="preserve">ик, подавший апелляцию, имеет право присутствовать при рассмотрении апелляции. С несовершеннолетним выпускником имеет право присутствовать один из родителей (законных представителей). Указанные лица должны при себе иметь документы, удостоверяющие личность.</w:t>
      </w:r>
      <w:r>
        <w:rPr>
          <w:rFonts w:ascii="Times New Roman" w:hAnsi="Times New Roman" w:cs="Times New Roman"/>
        </w:rPr>
      </w:r>
    </w:p>
    <w:p>
      <w:pPr>
        <w:pStyle w:val="768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6.9 Рассмотрение апелляции не является пересдачей ГИА.</w:t>
      </w:r>
      <w:r>
        <w:rPr>
          <w:rFonts w:ascii="Times New Roman" w:hAnsi="Times New Roman" w:cs="Times New Roman"/>
        </w:rPr>
      </w:r>
    </w:p>
    <w:p>
      <w:pPr>
        <w:pStyle w:val="768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6.10 При рассмотрении апелляции о нарушении Порядка апелляционная комиссия устанавливает достоверность изложенных в ней сведений и выносит одно из следующих решений:</w:t>
      </w:r>
      <w:r>
        <w:rPr>
          <w:rFonts w:ascii="Times New Roman" w:hAnsi="Times New Roman" w:cs="Times New Roman"/>
        </w:rPr>
      </w:r>
    </w:p>
    <w:p>
      <w:pPr>
        <w:pStyle w:val="768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 отклонении апелляции, если изложенные в ней сведения о нарушениях Порядка не подтвердились и (или) не повлияли на результат ГИА;</w:t>
      </w:r>
      <w:r>
        <w:rPr>
          <w:rFonts w:ascii="Times New Roman" w:hAnsi="Times New Roman" w:cs="Times New Roman"/>
        </w:rPr>
      </w:r>
    </w:p>
    <w:p>
      <w:pPr>
        <w:pStyle w:val="768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 удовлетворении апелляции, если изложенные в ней сведения о допущенных нарушениях Порядка подтвердились и повлияли на результат ГИА.</w:t>
      </w:r>
      <w:r>
        <w:rPr>
          <w:rFonts w:ascii="Times New Roman" w:hAnsi="Times New Roman" w:cs="Times New Roman"/>
        </w:rPr>
      </w:r>
    </w:p>
    <w:p>
      <w:pPr>
        <w:pStyle w:val="768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последнем случае результаты проведения ГИА подлежат аннулированию, в связи с чем протокол о рассмотрении апелляции не позднее следующего рабочего дня</w:t>
      </w:r>
      <w:r>
        <w:rPr>
          <w:rFonts w:ascii="Times New Roman" w:hAnsi="Times New Roman" w:cs="Times New Roman"/>
        </w:rPr>
        <w:t xml:space="preserve"> передается в ГЭК для реализации решения апелляционной комиссии. Выпускнику предоставляется возможность пройти ГИА в дополнительные сроки, установленные образовательной организацией без отчисления такого выпускника из образовательной организации в срок не </w:t>
      </w:r>
      <w:r>
        <w:rPr>
          <w:rFonts w:ascii="Times New Roman" w:hAnsi="Times New Roman" w:cs="Times New Roman"/>
        </w:rPr>
        <w:t xml:space="preserve">более четырёх месяцев после подачи апелляции.</w:t>
      </w:r>
      <w:r>
        <w:rPr>
          <w:rFonts w:ascii="Times New Roman" w:hAnsi="Times New Roman" w:cs="Times New Roman"/>
        </w:rPr>
      </w:r>
    </w:p>
    <w:p>
      <w:pPr>
        <w:pStyle w:val="768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6.11 В случае рассмотрения апелляции о несогласии с результатами ГИА, полученными при прохождении демонстрационного экзамена, секретарь ГЭК не позднее следующего рабочего дня с момента поступления апелляции направляет в апелл</w:t>
      </w:r>
      <w:r>
        <w:rPr>
          <w:rFonts w:ascii="Times New Roman" w:hAnsi="Times New Roman" w:cs="Times New Roman"/>
        </w:rPr>
        <w:t xml:space="preserve">яционную комиссию протокол заседания ГЭК, протокол проведения демонстрационного экзамена, письменные ответы выпускника (при их наличии), результаты работ выпускника, подавшего апелляцию, видеозаписи хода проведения демонстрационного экзамена (при наличии).</w:t>
      </w:r>
      <w:r>
        <w:rPr>
          <w:rFonts w:ascii="Times New Roman" w:hAnsi="Times New Roman" w:cs="Times New Roman"/>
        </w:rPr>
      </w:r>
    </w:p>
    <w:p>
      <w:pPr>
        <w:pStyle w:val="768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</w:t>
      </w:r>
      <w:r>
        <w:rPr>
          <w:rFonts w:ascii="Times New Roman" w:hAnsi="Times New Roman" w:cs="Times New Roman"/>
        </w:rPr>
        <w:t xml:space="preserve">12 В результате рассмотрения апелляции о несогласии с результатами ГИА апелляционная комиссия принимает решение об отклонении апелляции и сохранении результата ГИА либо об удовлетворении апелляции и выставлении иного результата ГИА. Решение апелляционной к</w:t>
      </w:r>
      <w:r>
        <w:rPr>
          <w:rFonts w:ascii="Times New Roman" w:hAnsi="Times New Roman" w:cs="Times New Roman"/>
        </w:rPr>
        <w:t xml:space="preserve">омиссии не позднее следующего рабочего дня передается в ГЭК. Решение апелляционной комиссии является основанием для аннулирования ранее выставленных результатов ГИА выпускника и выставления новых результатов в соответствии с мнением апелляционной комиссии.</w:t>
      </w:r>
      <w:r>
        <w:rPr>
          <w:rFonts w:ascii="Times New Roman" w:hAnsi="Times New Roman" w:cs="Times New Roman"/>
        </w:rPr>
      </w:r>
    </w:p>
    <w:p>
      <w:pPr>
        <w:pStyle w:val="768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6.13. Решение апелляционной комиссии принимается простым большинством голосов. При равном числе голосов голос председательствующего на заседании апелляционной комиссии является решающим.</w:t>
      </w:r>
      <w:r>
        <w:rPr>
          <w:rFonts w:ascii="Times New Roman" w:hAnsi="Times New Roman" w:cs="Times New Roman"/>
        </w:rPr>
      </w:r>
    </w:p>
    <w:p>
      <w:pPr>
        <w:pStyle w:val="768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Решение апелляционной комиссии доводится до сведения подавшего апелляцию выпускника в течение трех рабочих дней со дня заседания апелляционной комиссии.</w:t>
      </w:r>
      <w:r>
        <w:rPr>
          <w:rFonts w:ascii="Times New Roman" w:hAnsi="Times New Roman" w:cs="Times New Roman"/>
        </w:rPr>
      </w:r>
    </w:p>
    <w:p>
      <w:pPr>
        <w:pStyle w:val="768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6.14 Решение апелляционной комиссии является окончательным и пересмотру не подлежит.</w:t>
      </w:r>
      <w:r>
        <w:rPr>
          <w:rFonts w:ascii="Times New Roman" w:hAnsi="Times New Roman" w:cs="Times New Roman"/>
        </w:rPr>
      </w:r>
    </w:p>
    <w:p>
      <w:pPr>
        <w:pStyle w:val="768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6.15 Решение апелляционной комиссии оформляется протоколом, который подписывается председателем (заместителем председателя) и секретарем апелляционной комиссии и хранится в архиве ГАПОУ «ОГК».</w:t>
      </w:r>
      <w:r>
        <w:rPr>
          <w:rFonts w:ascii="Times New Roman" w:hAnsi="Times New Roman" w:cs="Times New Roman"/>
        </w:rPr>
      </w:r>
    </w:p>
    <w:p>
      <w:pPr>
        <w:pStyle w:val="768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6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6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7. Особенности проведения ГИА для выпускников из числа лиц с ограниченными</w:t>
      </w:r>
      <w:r>
        <w:rPr>
          <w:rFonts w:ascii="Times New Roman" w:hAnsi="Times New Roman" w:cs="Times New Roman"/>
          <w:b/>
        </w:rPr>
      </w:r>
    </w:p>
    <w:p>
      <w:pPr>
        <w:pStyle w:val="76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возможностями здоровья, детей-инвалидов и инвалидов</w:t>
      </w:r>
      <w:r>
        <w:rPr>
          <w:rFonts w:ascii="Times New Roman" w:hAnsi="Times New Roman" w:cs="Times New Roman"/>
          <w:b/>
        </w:rPr>
      </w:r>
    </w:p>
    <w:p>
      <w:pPr>
        <w:pStyle w:val="76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76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7.1. Для выпускников из числа лиц с </w:t>
      </w:r>
      <w:r>
        <w:rPr>
          <w:rFonts w:ascii="Times New Roman" w:hAnsi="Times New Roman" w:cs="Times New Roman"/>
        </w:rPr>
        <w:t xml:space="preserve">ограниченными возможностями здоровья и выпускников из числа детей-инвалидов и инвалидов проводится ГИА с учетом особенностей психофизического развития, индивидуальных возможностей и состояния здоровья таких выпускников (далее - индивидуальные особенности).</w:t>
      </w:r>
      <w:r>
        <w:rPr>
          <w:rFonts w:ascii="Times New Roman" w:hAnsi="Times New Roman" w:cs="Times New Roman"/>
        </w:rPr>
      </w:r>
    </w:p>
    <w:p>
      <w:pPr>
        <w:pStyle w:val="76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7.2. При проведении ГИА обеспечивается соблюдение следующих общих требований:</w:t>
      </w:r>
      <w:r>
        <w:rPr>
          <w:rFonts w:ascii="Times New Roman" w:hAnsi="Times New Roman" w:cs="Times New Roman"/>
        </w:rPr>
      </w:r>
    </w:p>
    <w:p>
      <w:pPr>
        <w:pStyle w:val="76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проведение ГИА для выпу</w:t>
      </w:r>
      <w:r>
        <w:rPr>
          <w:rFonts w:ascii="Times New Roman" w:hAnsi="Times New Roman" w:cs="Times New Roman"/>
        </w:rPr>
        <w:t xml:space="preserve">скников с ограниченными возможностями здоровья, выпускников из числа детей-инвалидов и инвалидов в одной аудитории совместно с выпускниками, не имеющими ограниченных возможностей здоровья, если это не создает трудностей для выпускников при прохождении ГИА;</w:t>
      </w:r>
      <w:r>
        <w:rPr>
          <w:rFonts w:ascii="Times New Roman" w:hAnsi="Times New Roman" w:cs="Times New Roman"/>
        </w:rPr>
      </w:r>
    </w:p>
    <w:p>
      <w:pPr>
        <w:pStyle w:val="76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присутствие в аудитории, центре</w:t>
      </w:r>
      <w:r>
        <w:rPr>
          <w:rFonts w:ascii="Times New Roman" w:hAnsi="Times New Roman" w:cs="Times New Roman"/>
        </w:rPr>
        <w:t xml:space="preserve"> проведения экзамена тьютора, ассистента, оказывающих выпускникам необходимую техническую помощь с учетом их индивидуальных особенностей (занять рабочее место, передвигаться, прочитать и оформить задание, общаться с членами ГЭК, членами экспертной группы);</w:t>
      </w:r>
      <w:r>
        <w:rPr>
          <w:rFonts w:ascii="Times New Roman" w:hAnsi="Times New Roman" w:cs="Times New Roman"/>
        </w:rPr>
      </w:r>
    </w:p>
    <w:p>
      <w:pPr>
        <w:pStyle w:val="76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пользование необходимыми выпускникам техническими средствами при прохождении ГИА с учетом их индивидуальных особенностей;</w:t>
      </w:r>
      <w:r>
        <w:rPr>
          <w:rFonts w:ascii="Times New Roman" w:hAnsi="Times New Roman" w:cs="Times New Roman"/>
        </w:rPr>
      </w:r>
    </w:p>
    <w:p>
      <w:pPr>
        <w:pStyle w:val="76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обеспечение возможности беспрепятственного доступа выпускников в аудитории, туалетн</w:t>
      </w:r>
      <w:r>
        <w:rPr>
          <w:rFonts w:ascii="Times New Roman" w:hAnsi="Times New Roman" w:cs="Times New Roman"/>
        </w:rPr>
        <w:t xml:space="preserve">ые и другие помещения, а также их пребывания в указанных помещениях (наличие пандусов, поручней, расширенных дверных проемов, лифтов, при отсутствии лифтов аудитория должна располагаться на первом этаже, наличие специальных кресел и других приспособлений).</w:t>
      </w:r>
      <w:r>
        <w:rPr>
          <w:rFonts w:ascii="Times New Roman" w:hAnsi="Times New Roman" w:cs="Times New Roman"/>
        </w:rPr>
      </w:r>
    </w:p>
    <w:p>
      <w:pPr>
        <w:pStyle w:val="76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7.3 Дополнительно при проведении ГИА обеспечивается соблюдение следующих требований в зависимости от категорий выпускников с ограниченными возможностями здоровья, выпускников из числа детей-инвалидов и инвалидов:</w:t>
      </w:r>
      <w:r>
        <w:rPr>
          <w:rFonts w:ascii="Times New Roman" w:hAnsi="Times New Roman" w:cs="Times New Roman"/>
        </w:rPr>
      </w:r>
    </w:p>
    <w:p>
      <w:pPr>
        <w:pStyle w:val="76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для слепых:</w:t>
      </w:r>
      <w:r>
        <w:rPr>
          <w:rFonts w:ascii="Times New Roman" w:hAnsi="Times New Roman" w:cs="Times New Roman"/>
        </w:rPr>
      </w:r>
    </w:p>
    <w:p>
      <w:pPr>
        <w:pStyle w:val="76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задания для выполнения, а также инструкция о порядке ГИА, комплект оценочной доку</w:t>
      </w:r>
      <w:r>
        <w:rPr>
          <w:rFonts w:ascii="Times New Roman" w:hAnsi="Times New Roman" w:cs="Times New Roman"/>
        </w:rPr>
        <w:t xml:space="preserve">ментации, задания демонстрационного экзамена оформляются рельефно-точечным шрифтом по системе Брайля или в виде электронного документа, доступного с помощью компьютера со специализированным программным обеспечением для слепых, или зачитываются ассистентом;</w:t>
      </w:r>
      <w:r>
        <w:rPr>
          <w:rFonts w:ascii="Times New Roman" w:hAnsi="Times New Roman" w:cs="Times New Roman"/>
        </w:rPr>
      </w:r>
    </w:p>
    <w:p>
      <w:pPr>
        <w:pStyle w:val="76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письменные задания выполняются на бумаге рельефно-точечным шрифтом по системе Брайля или на компьютере со специализированным программным обеспечением для слепых, или надиктовываются ассистенту;</w:t>
      </w:r>
      <w:r>
        <w:rPr>
          <w:rFonts w:ascii="Times New Roman" w:hAnsi="Times New Roman" w:cs="Times New Roman"/>
        </w:rPr>
      </w:r>
    </w:p>
    <w:p>
      <w:pPr>
        <w:pStyle w:val="76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выпускникам для выполнения задания при необходимости предоставляется комплект письменных принадлежностей и бумага для письма рельефно-точечным шрифтом Брайля, компьютер со специализированным программным обеспечением для слепых;</w:t>
      </w:r>
      <w:r>
        <w:rPr>
          <w:rFonts w:ascii="Times New Roman" w:hAnsi="Times New Roman" w:cs="Times New Roman"/>
        </w:rPr>
      </w:r>
    </w:p>
    <w:p>
      <w:pPr>
        <w:pStyle w:val="76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б) для слабовидящих:</w:t>
      </w:r>
      <w:r>
        <w:rPr>
          <w:rFonts w:ascii="Times New Roman" w:hAnsi="Times New Roman" w:cs="Times New Roman"/>
        </w:rPr>
      </w:r>
    </w:p>
    <w:p>
      <w:pPr>
        <w:pStyle w:val="76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обеспечивается индивидуальное равномерное освещение не менее 300 люкс;</w:t>
      </w:r>
      <w:r>
        <w:rPr>
          <w:rFonts w:ascii="Times New Roman" w:hAnsi="Times New Roman" w:cs="Times New Roman"/>
        </w:rPr>
      </w:r>
    </w:p>
    <w:p>
      <w:pPr>
        <w:pStyle w:val="76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выпускникам для выполнения задания при необходимости предоставляется увеличивающее устройство;</w:t>
      </w:r>
      <w:r>
        <w:rPr>
          <w:rFonts w:ascii="Times New Roman" w:hAnsi="Times New Roman" w:cs="Times New Roman"/>
        </w:rPr>
      </w:r>
    </w:p>
    <w:p>
      <w:pPr>
        <w:pStyle w:val="76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задания для выполнения, а также инструкция о порядке проведения государственной аттестации оформляются увеличенным шрифтом;</w:t>
      </w:r>
      <w:r>
        <w:rPr>
          <w:rFonts w:ascii="Times New Roman" w:hAnsi="Times New Roman" w:cs="Times New Roman"/>
        </w:rPr>
      </w:r>
    </w:p>
    <w:p>
      <w:pPr>
        <w:pStyle w:val="76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для глухих и слабослышащих, с тяжелыми нарушениями речи:</w:t>
      </w:r>
      <w:r>
        <w:rPr>
          <w:rFonts w:ascii="Times New Roman" w:hAnsi="Times New Roman" w:cs="Times New Roman"/>
        </w:rPr>
      </w:r>
    </w:p>
    <w:p>
      <w:pPr>
        <w:pStyle w:val="76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обеспечивается наличие звукоусиливающей аппаратуры коллективного пользования, при необходимости предоставляется звукоусиливающая аппаратура индивидуального пользования;</w:t>
      </w:r>
      <w:r>
        <w:rPr>
          <w:rFonts w:ascii="Times New Roman" w:hAnsi="Times New Roman" w:cs="Times New Roman"/>
        </w:rPr>
      </w:r>
    </w:p>
    <w:p>
      <w:pPr>
        <w:pStyle w:val="76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их желанию государственный экзамен может проводиться в письменной форме;</w:t>
      </w:r>
      <w:r>
        <w:rPr>
          <w:rFonts w:ascii="Times New Roman" w:hAnsi="Times New Roman" w:cs="Times New Roman"/>
        </w:rPr>
      </w:r>
    </w:p>
    <w:p>
      <w:pPr>
        <w:pStyle w:val="76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г) для лиц с нарушениями опорно-двигательного аппарата (с тяжелыми нарушениями двигательных функций верхних конечностей или отсутствием верхних конечностей):</w:t>
      </w:r>
      <w:r>
        <w:rPr>
          <w:rFonts w:ascii="Times New Roman" w:hAnsi="Times New Roman" w:cs="Times New Roman"/>
        </w:rPr>
      </w:r>
    </w:p>
    <w:p>
      <w:pPr>
        <w:pStyle w:val="76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письменные задания выполняются на компьютере со специализированным программным обеспечением или надиктовываются ассистенту;</w:t>
      </w:r>
      <w:r>
        <w:rPr>
          <w:rFonts w:ascii="Times New Roman" w:hAnsi="Times New Roman" w:cs="Times New Roman"/>
        </w:rPr>
      </w:r>
    </w:p>
    <w:p>
      <w:pPr>
        <w:pStyle w:val="76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их желанию государственный экзамен может проводиться в устной форме;</w:t>
      </w:r>
      <w:r>
        <w:rPr>
          <w:rFonts w:ascii="Times New Roman" w:hAnsi="Times New Roman" w:cs="Times New Roman"/>
        </w:rPr>
      </w:r>
    </w:p>
    <w:p>
      <w:pPr>
        <w:pStyle w:val="76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д) также для выпускников из числа лиц с ограниченными возможностями здоровья и выпускников из числа детей-инвалидов и инвалидов соз</w:t>
      </w:r>
      <w:r>
        <w:rPr>
          <w:rFonts w:ascii="Times New Roman" w:hAnsi="Times New Roman" w:cs="Times New Roman"/>
        </w:rPr>
        <w:t xml:space="preserve">даются иные специальные условия проведения ГИА в соответствии с рекомендациями психолого-медико-педагогической комиссии, справкой, подтверждающей факт установления инвалидности, выданной федеральным государственным учреждением медико-социальной экспертизы.</w:t>
      </w:r>
      <w:r>
        <w:rPr>
          <w:rFonts w:ascii="Times New Roman" w:hAnsi="Times New Roman" w:cs="Times New Roman"/>
        </w:rPr>
      </w:r>
    </w:p>
    <w:p>
      <w:pPr>
        <w:pStyle w:val="76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7.4. Выпускники или родители (законные представители) несовершеннолетних выпускников не позднее чем за 3 месяца до начала ГИА подают в образовательную </w:t>
      </w:r>
      <w:r>
        <w:rPr>
          <w:rFonts w:ascii="Times New Roman" w:hAnsi="Times New Roman" w:cs="Times New Roman"/>
        </w:rPr>
        <w:t xml:space="preserve">организацию письменное заявление о необходимости создания для них специальных условий при проведении ГИА с приложением копии рекомендаций ПМПК, а дети-инвалиды, инвалиды - оригинала или заверенной копии справки, а также копии рекомендаций ПМПК при наличии.</w:t>
      </w:r>
      <w:r>
        <w:rPr>
          <w:rFonts w:ascii="Times New Roman" w:hAnsi="Times New Roman" w:cs="Times New Roman"/>
        </w:rPr>
      </w:r>
    </w:p>
    <w:p>
      <w:pPr>
        <w:pStyle w:val="76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76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6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8. Порядок повторного прохождения государственной итоговой аттестации</w:t>
      </w:r>
      <w:r>
        <w:rPr>
          <w:rFonts w:ascii="Times New Roman" w:hAnsi="Times New Roman" w:cs="Times New Roman"/>
          <w:b/>
        </w:rPr>
      </w:r>
    </w:p>
    <w:p>
      <w:pPr>
        <w:pStyle w:val="76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76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Лицам, не проходившим ГИА по уважительной причине, предоставляется возможность пройти ее без отчисления из ГАПОУ «ОГК» в установленные дополнительные сроки:</w:t>
      </w:r>
      <w:r>
        <w:rPr>
          <w:rFonts w:ascii="Times New Roman" w:hAnsi="Times New Roman" w:cs="Times New Roman"/>
        </w:rPr>
      </w:r>
    </w:p>
    <w:p>
      <w:pPr>
        <w:pStyle w:val="76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-для лиц, не прошедших государственную итоговую аттестацию по уважительной причине - «24» сентября 2027г.;</w:t>
      </w:r>
      <w:r>
        <w:rPr>
          <w:rFonts w:ascii="Times New Roman" w:hAnsi="Times New Roman" w:cs="Times New Roman"/>
        </w:rPr>
      </w:r>
    </w:p>
    <w:p>
      <w:pPr>
        <w:pStyle w:val="76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Лица, не прошедшие ГИА по неуважительной причине или показавшие неудовлетворительные результаты отчисляются из образовательной организации и восстанавливаются для сдачи ГИА на срок — с «22» июня по «28» июня 2028г.;</w:t>
      </w:r>
      <w:r>
        <w:rPr>
          <w:rFonts w:ascii="Times New Roman" w:hAnsi="Times New Roman" w:cs="Times New Roman"/>
        </w:rPr>
      </w:r>
    </w:p>
    <w:p>
      <w:pPr>
        <w:pStyle w:val="768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лиц, подавших апелляцию о нарушении порядка проведения ГИА и получивших положительное решение апелляционной комиссии — в дополнительные сроки установленные ГАПОУ «ОГК».</w:t>
      </w:r>
      <w:r>
        <w:rPr>
          <w:rFonts w:ascii="Times New Roman" w:hAnsi="Times New Roman" w:cs="Times New Roman"/>
        </w:rPr>
      </w:r>
    </w:p>
    <w:sectPr>
      <w:footnotePr/>
      <w:endnotePr/>
      <w:type w:val="nextPage"/>
      <w:pgSz w:w="11909" w:h="16834" w:orient="portrait"/>
      <w:pgMar w:top="1134" w:right="850" w:bottom="1134" w:left="1134" w:header="0" w:footer="3" w:gutter="0"/>
      <w:pgNumType w:start="82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alibri">
    <w:panose1 w:val="020F0502020204030204"/>
  </w:font>
  <w:font w:name="MS Gothic">
    <w:panose1 w:val="020B0609070205080204"/>
  </w:font>
  <w:font w:name="Verdana">
    <w:panose1 w:val="020B0604030504040204"/>
  </w:font>
  <w:font w:name="Franklin Gothic Heavy">
    <w:panose1 w:val="020B0903020102020204"/>
  </w:font>
  <w:font w:name="Times New Roman">
    <w:panose1 w:val="02020603050405020304"/>
  </w:font>
  <w:font w:name="Arial">
    <w:panose1 w:val="020B0604020202020204"/>
  </w:font>
  <w:font w:name="Courier New">
    <w:panose1 w:val="020703090202050204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/>
      <w:r/>
    </w:p>
  </w:footnote>
  <w:footnote w:type="continuationSeparator" w:id="0">
    <w:p>
      <w:r/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/>
    </w:lvl>
    <w:lvl w:ilvl="1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2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3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"/>
      <w:lvlJc w:val="left"/>
      <w:pPr/>
    </w:lvl>
    <w:lvl w:ilvl="1">
      <w:start w:val="1"/>
      <w:numFmt w:val="bullet"/>
      <w:isLgl w:val="false"/>
      <w:suff w:val="tab"/>
      <w:lvlText w:val="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3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•"/>
      <w:lvlJc w:val="left"/>
      <w:pPr/>
      <w:rPr>
        <w:rFonts w:ascii="Arial" w:hAnsi="Arial" w:eastAsia="Times New Roman"/>
        <w:b/>
        <w:i w:val="0"/>
        <w:smallCaps w:val="0"/>
        <w:strike w:val="0"/>
        <w:color w:val="000000"/>
        <w:spacing w:val="0"/>
        <w:position w:val="0"/>
        <w:sz w:val="12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2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3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</w:abstractNum>
  <w:abstractNum w:abstractNumId="3">
    <w:multiLevelType w:val="hybridMultilevel"/>
    <w:lvl w:ilvl="0">
      <w:start w:val="4"/>
      <w:numFmt w:val="decimal"/>
      <w:isLgl w:val="false"/>
      <w:suff w:val="tab"/>
      <w:lvlText w:val="7.%1."/>
      <w:lvlJc w:val="left"/>
      <w:pPr/>
      <w:rPr>
        <w:rFonts w:ascii="Arial" w:hAnsi="Arial" w:eastAsia="Times New Roman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2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3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</w:abstractNum>
  <w:abstractNum w:abstractNumId="4">
    <w:multiLevelType w:val="hybridMultilevel"/>
    <w:lvl w:ilvl="0">
      <w:start w:val="4"/>
      <w:numFmt w:val="decimal"/>
      <w:isLgl w:val="false"/>
      <w:suff w:val="tab"/>
      <w:lvlText w:val="8.%1."/>
      <w:lvlJc w:val="left"/>
      <w:pPr/>
      <w:rPr>
        <w:rFonts w:ascii="Arial" w:hAnsi="Arial" w:eastAsia="Times New Roman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2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3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4.3.%1."/>
      <w:lvlJc w:val="left"/>
      <w:pPr/>
      <w:rPr>
        <w:rFonts w:ascii="Arial" w:hAnsi="Arial" w:eastAsia="Times New Roman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2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3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7">
    <w:multiLevelType w:val="hybridMultilevel"/>
    <w:lvl w:ilvl="0">
      <w:start w:val="3"/>
      <w:numFmt w:val="decimal"/>
      <w:isLgl w:val="false"/>
      <w:suff w:val="tab"/>
      <w:lvlText w:val="4.3.%1."/>
      <w:lvlJc w:val="left"/>
      <w:pPr/>
      <w:rPr>
        <w:rFonts w:ascii="Arial" w:hAnsi="Arial" w:eastAsia="Times New Roman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2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3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</w:abstractNum>
  <w:abstractNum w:abstractNumId="8">
    <w:multiLevelType w:val="hybridMultilevel"/>
    <w:lvl w:ilvl="0">
      <w:start w:val="12"/>
      <w:numFmt w:val="decimal"/>
      <w:isLgl w:val="false"/>
      <w:suff w:val="tab"/>
      <w:lvlText w:val="%1."/>
      <w:lvlJc w:val="left"/>
      <w:pPr/>
      <w:rPr>
        <w:rFonts w:ascii="Arial" w:hAnsi="Arial" w:eastAsia="Times New Roman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2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3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</w:abstractNum>
  <w:abstractNum w:abstractNumId="9">
    <w:multiLevelType w:val="hybridMultilevel"/>
    <w:lvl w:ilvl="0">
      <w:start w:val="4"/>
      <w:numFmt w:val="decimal"/>
      <w:isLgl w:val="false"/>
      <w:suff w:val="tab"/>
      <w:lvlText w:val="1.%1."/>
      <w:lvlJc w:val="left"/>
      <w:pPr/>
      <w:rPr>
        <w:rFonts w:ascii="Arial" w:hAnsi="Arial" w:eastAsia="Times New Roman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2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3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Arial" w:hAnsi="Arial" w:eastAsia="Times New Roman" w:cs="Arial"/>
        <w:b/>
        <w:bCs/>
        <w:i w:val="0"/>
        <w:iCs w:val="0"/>
        <w:smallCaps w:val="0"/>
        <w:strike w:val="0"/>
        <w:color w:val="000000"/>
        <w:spacing w:val="0"/>
        <w:position w:val="0"/>
        <w:sz w:val="17"/>
        <w:szCs w:val="17"/>
        <w:u w:val="none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Arial" w:hAnsi="Arial" w:eastAsia="Times New Roman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</w:rPr>
    </w:lvl>
    <w:lvl w:ilvl="2">
      <w:start w:val="1"/>
      <w:numFmt w:val="decimal"/>
      <w:isLgl w:val="false"/>
      <w:suff w:val="tab"/>
      <w:lvlText w:val="%1.%2.%3."/>
      <w:lvlJc w:val="left"/>
      <w:pPr/>
      <w:rPr>
        <w:rFonts w:ascii="Arial" w:hAnsi="Arial" w:eastAsia="Times New Roman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</w:rPr>
    </w:lvl>
    <w:lvl w:ilvl="3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</w:abstractNum>
  <w:abstractNum w:abstractNumId="11">
    <w:multiLevelType w:val="hybridMultilevel"/>
    <w:lvl w:ilvl="0">
      <w:start w:val="3"/>
      <w:numFmt w:val="decimal"/>
      <w:isLgl w:val="false"/>
      <w:suff w:val="tab"/>
      <w:lvlText w:val="2.%1."/>
      <w:lvlJc w:val="left"/>
      <w:pPr/>
      <w:rPr>
        <w:rFonts w:ascii="Arial" w:hAnsi="Arial" w:eastAsia="Times New Roman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2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3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</w:abstractNum>
  <w:abstractNum w:abstractNumId="12">
    <w:multiLevelType w:val="hybridMultilevel"/>
    <w:lvl w:ilvl="0">
      <w:start w:val="3"/>
      <w:numFmt w:val="decimal"/>
      <w:isLgl w:val="false"/>
      <w:suff w:val="tab"/>
      <w:lvlText w:val="4.%1."/>
      <w:lvlJc w:val="left"/>
      <w:pPr/>
      <w:rPr>
        <w:rFonts w:ascii="Arial" w:hAnsi="Arial" w:eastAsia="Times New Roman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2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3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Arial" w:hAnsi="Arial" w:eastAsia="Times New Roman" w:cs="Arial"/>
        <w:b/>
        <w:bCs/>
        <w:i w:val="0"/>
        <w:iCs w:val="0"/>
        <w:smallCaps w:val="0"/>
        <w:strike w:val="0"/>
        <w:color w:val="000000"/>
        <w:spacing w:val="0"/>
        <w:position w:val="0"/>
        <w:sz w:val="16"/>
        <w:szCs w:val="16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2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3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</w:abstractNum>
  <w:abstractNum w:abstractNumId="14">
    <w:multiLevelType w:val="hybridMultilevel"/>
    <w:lvl w:ilvl="0">
      <w:start w:val="3"/>
      <w:numFmt w:val="decimal"/>
      <w:isLgl w:val="false"/>
      <w:suff w:val="tab"/>
      <w:lvlText w:val="42.%1."/>
      <w:lvlJc w:val="left"/>
      <w:pPr/>
      <w:rPr>
        <w:rFonts w:ascii="Arial" w:hAnsi="Arial" w:eastAsia="Times New Roman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2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3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42.%1."/>
      <w:lvlJc w:val="left"/>
      <w:pPr/>
      <w:rPr>
        <w:rFonts w:ascii="Arial" w:hAnsi="Arial" w:eastAsia="Times New Roman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2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3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—"/>
      <w:lvlJc w:val="left"/>
      <w:pPr/>
      <w:rPr>
        <w:rFonts w:ascii="Arial" w:hAnsi="Arial" w:eastAsia="Times New Roman"/>
        <w:b w:val="0"/>
        <w:i w:val="0"/>
        <w:smallCaps w:val="0"/>
        <w:strike w:val="0"/>
        <w:color w:val="000000"/>
        <w:spacing w:val="-10"/>
        <w:position w:val="0"/>
        <w:sz w:val="17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2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3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4.4.%1."/>
      <w:lvlJc w:val="left"/>
      <w:pPr/>
      <w:rPr>
        <w:rFonts w:ascii="Arial" w:hAnsi="Arial" w:eastAsia="Times New Roman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2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3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</w:abstractNum>
  <w:abstractNum w:abstractNumId="19">
    <w:multiLevelType w:val="hybridMultilevel"/>
    <w:lvl w:ilvl="0">
      <w:start w:val="3"/>
      <w:numFmt w:val="decimal"/>
      <w:isLgl w:val="false"/>
      <w:suff w:val="tab"/>
      <w:lvlText w:val="4.1.%1."/>
      <w:lvlJc w:val="left"/>
      <w:pPr/>
      <w:rPr>
        <w:rFonts w:ascii="Arial" w:hAnsi="Arial" w:eastAsia="Times New Roman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2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3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4.5.%1."/>
      <w:lvlJc w:val="left"/>
      <w:pPr/>
      <w:rPr>
        <w:rFonts w:ascii="Arial" w:hAnsi="Arial" w:eastAsia="Times New Roman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2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3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</w:abstractNum>
  <w:abstractNum w:abstractNumId="22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2096" w:hanging="1800"/>
      </w:pPr>
      <w:rPr>
        <w:rFonts w:hint="default"/>
      </w:rPr>
    </w:lvl>
  </w:abstractNum>
  <w:abstractNum w:abstractNumId="23">
    <w:multiLevelType w:val="hybridMultilevel"/>
    <w:lvl w:ilvl="0">
      <w:start w:val="3"/>
      <w:numFmt w:val="decimal"/>
      <w:isLgl w:val="false"/>
      <w:suff w:val="tab"/>
      <w:lvlText w:val="4.4.%1."/>
      <w:lvlJc w:val="left"/>
      <w:pPr/>
      <w:rPr>
        <w:rFonts w:ascii="Arial" w:hAnsi="Arial" w:eastAsia="Times New Roman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2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3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5">
    <w:multiLevelType w:val="hybridMultilevel"/>
    <w:lvl w:ilvl="0">
      <w:start w:val="4"/>
      <w:numFmt w:val="decimal"/>
      <w:isLgl w:val="false"/>
      <w:suff w:val="tab"/>
      <w:lvlText w:val="5.%1."/>
      <w:lvlJc w:val="left"/>
      <w:pPr/>
      <w:rPr>
        <w:rFonts w:ascii="Arial" w:hAnsi="Arial" w:eastAsia="Times New Roman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2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3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</w:abstractNum>
  <w:num w:numId="1">
    <w:abstractNumId w:val="10"/>
  </w:num>
  <w:num w:numId="2">
    <w:abstractNumId w:val="8"/>
  </w:num>
  <w:num w:numId="3">
    <w:abstractNumId w:val="17"/>
  </w:num>
  <w:num w:numId="4">
    <w:abstractNumId w:val="13"/>
  </w:num>
  <w:num w:numId="5">
    <w:abstractNumId w:val="9"/>
  </w:num>
  <w:num w:numId="6">
    <w:abstractNumId w:val="11"/>
  </w:num>
  <w:num w:numId="7">
    <w:abstractNumId w:val="19"/>
  </w:num>
  <w:num w:numId="8">
    <w:abstractNumId w:val="16"/>
  </w:num>
  <w:num w:numId="9">
    <w:abstractNumId w:val="14"/>
  </w:num>
  <w:num w:numId="10">
    <w:abstractNumId w:val="12"/>
  </w:num>
  <w:num w:numId="11">
    <w:abstractNumId w:val="5"/>
  </w:num>
  <w:num w:numId="12">
    <w:abstractNumId w:val="7"/>
  </w:num>
  <w:num w:numId="13">
    <w:abstractNumId w:val="18"/>
  </w:num>
  <w:num w:numId="14">
    <w:abstractNumId w:val="23"/>
  </w:num>
  <w:num w:numId="15">
    <w:abstractNumId w:val="21"/>
  </w:num>
  <w:num w:numId="16">
    <w:abstractNumId w:val="2"/>
  </w:num>
  <w:num w:numId="17">
    <w:abstractNumId w:val="25"/>
  </w:num>
  <w:num w:numId="18">
    <w:abstractNumId w:val="3"/>
  </w:num>
  <w:num w:numId="19">
    <w:abstractNumId w:val="4"/>
  </w:num>
  <w:num w:numId="20">
    <w:abstractNumId w:val="24"/>
  </w:num>
  <w:num w:numId="21">
    <w:abstractNumId w:val="20"/>
  </w:num>
  <w:num w:numId="22">
    <w:abstractNumId w:val="0"/>
  </w:num>
  <w:num w:numId="23">
    <w:abstractNumId w:val="1"/>
  </w:num>
  <w:num w:numId="24">
    <w:abstractNumId w:val="6"/>
  </w:num>
  <w:num w:numId="25">
    <w:abstractNumId w:val="22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evenAndOddHeaders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ourier New" w:hAnsi="Courier New" w:eastAsia="Courier New" w:cs="Courier New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07"/>
    <w:link w:val="706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705"/>
    <w:next w:val="705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707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705"/>
    <w:next w:val="705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707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705"/>
    <w:next w:val="705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707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705"/>
    <w:next w:val="705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707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705"/>
    <w:next w:val="705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707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705"/>
    <w:next w:val="705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707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705"/>
    <w:next w:val="705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707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705"/>
    <w:next w:val="705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707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705"/>
    <w:next w:val="705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707"/>
    <w:link w:val="34"/>
    <w:uiPriority w:val="10"/>
    <w:rPr>
      <w:sz w:val="48"/>
      <w:szCs w:val="48"/>
    </w:rPr>
  </w:style>
  <w:style w:type="paragraph" w:styleId="36">
    <w:name w:val="Subtitle"/>
    <w:basedOn w:val="705"/>
    <w:next w:val="705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707"/>
    <w:link w:val="36"/>
    <w:uiPriority w:val="11"/>
    <w:rPr>
      <w:sz w:val="24"/>
      <w:szCs w:val="24"/>
    </w:rPr>
  </w:style>
  <w:style w:type="paragraph" w:styleId="38">
    <w:name w:val="Quote"/>
    <w:basedOn w:val="705"/>
    <w:next w:val="705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705"/>
    <w:next w:val="705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707"/>
    <w:link w:val="769"/>
    <w:uiPriority w:val="99"/>
  </w:style>
  <w:style w:type="character" w:styleId="45">
    <w:name w:val="Footer Char"/>
    <w:basedOn w:val="707"/>
    <w:link w:val="771"/>
    <w:uiPriority w:val="99"/>
  </w:style>
  <w:style w:type="paragraph" w:styleId="46">
    <w:name w:val="Caption"/>
    <w:basedOn w:val="705"/>
    <w:next w:val="705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707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70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0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0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0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0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0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0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0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0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0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7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7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7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7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7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7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7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7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7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7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7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7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7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705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707"/>
    <w:uiPriority w:val="99"/>
    <w:unhideWhenUsed/>
    <w:rPr>
      <w:vertAlign w:val="superscript"/>
    </w:rPr>
  </w:style>
  <w:style w:type="paragraph" w:styleId="178">
    <w:name w:val="endnote text"/>
    <w:basedOn w:val="705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707"/>
    <w:uiPriority w:val="99"/>
    <w:semiHidden/>
    <w:unhideWhenUsed/>
    <w:rPr>
      <w:vertAlign w:val="superscript"/>
    </w:rPr>
  </w:style>
  <w:style w:type="paragraph" w:styleId="181">
    <w:name w:val="toc 1"/>
    <w:basedOn w:val="705"/>
    <w:next w:val="705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705"/>
    <w:next w:val="705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705"/>
    <w:next w:val="705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705"/>
    <w:next w:val="705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705"/>
    <w:next w:val="705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705"/>
    <w:next w:val="705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705"/>
    <w:next w:val="705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705"/>
    <w:next w:val="705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705"/>
    <w:next w:val="705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705"/>
    <w:next w:val="705"/>
    <w:uiPriority w:val="99"/>
    <w:unhideWhenUsed/>
    <w:pPr>
      <w:spacing w:after="0" w:afterAutospacing="0"/>
    </w:pPr>
  </w:style>
  <w:style w:type="paragraph" w:styleId="705" w:default="1">
    <w:name w:val="Normal"/>
    <w:qFormat/>
    <w:pPr>
      <w:widowControl w:val="off"/>
    </w:pPr>
    <w:rPr>
      <w:color w:val="000000"/>
      <w:sz w:val="24"/>
      <w:szCs w:val="24"/>
    </w:rPr>
  </w:style>
  <w:style w:type="paragraph" w:styleId="706">
    <w:name w:val="Heading 1"/>
    <w:basedOn w:val="705"/>
    <w:next w:val="705"/>
    <w:link w:val="710"/>
    <w:uiPriority w:val="99"/>
    <w:qFormat/>
    <w:pPr>
      <w:jc w:val="center"/>
      <w:keepNext/>
      <w:widowControl/>
      <w:outlineLvl w:val="0"/>
    </w:pPr>
    <w:rPr>
      <w:rFonts w:ascii="Times New Roman" w:hAnsi="Times New Roman" w:eastAsia="Times New Roman" w:cs="Times New Roman"/>
      <w:color w:val="auto"/>
      <w:szCs w:val="20"/>
    </w:rPr>
  </w:style>
  <w:style w:type="character" w:styleId="707" w:default="1">
    <w:name w:val="Default Paragraph Font"/>
    <w:uiPriority w:val="1"/>
    <w:semiHidden/>
    <w:unhideWhenUsed/>
  </w:style>
  <w:style w:type="table" w:styleId="708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9" w:default="1">
    <w:name w:val="No List"/>
    <w:uiPriority w:val="99"/>
    <w:semiHidden/>
    <w:unhideWhenUsed/>
  </w:style>
  <w:style w:type="character" w:styleId="710" w:customStyle="1">
    <w:name w:val="Заголовок 1 Знак"/>
    <w:basedOn w:val="707"/>
    <w:link w:val="706"/>
    <w:uiPriority w:val="99"/>
    <w:rPr>
      <w:rFonts w:ascii="Times New Roman" w:hAnsi="Times New Roman" w:cs="Times New Roman"/>
      <w:sz w:val="20"/>
      <w:szCs w:val="20"/>
    </w:rPr>
  </w:style>
  <w:style w:type="character" w:styleId="711">
    <w:name w:val="Hyperlink"/>
    <w:basedOn w:val="707"/>
    <w:uiPriority w:val="99"/>
    <w:rPr>
      <w:rFonts w:cs="Times New Roman"/>
      <w:color w:val="0066cc"/>
      <w:u w:val="single"/>
    </w:rPr>
  </w:style>
  <w:style w:type="character" w:styleId="712" w:customStyle="1">
    <w:name w:val="Основной текст_"/>
    <w:basedOn w:val="707"/>
    <w:link w:val="752"/>
    <w:uiPriority w:val="99"/>
    <w:rPr>
      <w:rFonts w:ascii="Arial" w:hAnsi="Arial" w:eastAsia="Times New Roman" w:cs="Arial"/>
      <w:spacing w:val="-10"/>
      <w:sz w:val="17"/>
      <w:szCs w:val="17"/>
      <w:u w:val="none"/>
    </w:rPr>
  </w:style>
  <w:style w:type="character" w:styleId="713" w:customStyle="1">
    <w:name w:val="Колонтитул_"/>
    <w:basedOn w:val="707"/>
    <w:link w:val="753"/>
    <w:uiPriority w:val="99"/>
    <w:rPr>
      <w:rFonts w:ascii="Franklin Gothic Heavy" w:hAnsi="Franklin Gothic Heavy" w:eastAsia="Times New Roman" w:cs="Franklin Gothic Heavy"/>
      <w:b/>
      <w:bCs/>
      <w:sz w:val="17"/>
      <w:szCs w:val="17"/>
      <w:u w:val="none"/>
    </w:rPr>
  </w:style>
  <w:style w:type="character" w:styleId="714" w:customStyle="1">
    <w:name w:val="Колонтитул"/>
    <w:basedOn w:val="713"/>
    <w:uiPriority w:val="99"/>
    <w:rPr>
      <w:color w:val="000000"/>
      <w:spacing w:val="0"/>
      <w:position w:val="0"/>
      <w:lang w:val="ru-RU"/>
    </w:rPr>
  </w:style>
  <w:style w:type="character" w:styleId="715" w:customStyle="1">
    <w:name w:val="Основной текст (2)_"/>
    <w:basedOn w:val="707"/>
    <w:link w:val="754"/>
    <w:uiPriority w:val="99"/>
    <w:rPr>
      <w:rFonts w:ascii="Arial" w:hAnsi="Arial" w:eastAsia="Times New Roman" w:cs="Arial"/>
      <w:b/>
      <w:bCs/>
      <w:spacing w:val="-10"/>
      <w:sz w:val="22"/>
      <w:szCs w:val="22"/>
      <w:u w:val="none"/>
    </w:rPr>
  </w:style>
  <w:style w:type="character" w:styleId="716" w:customStyle="1">
    <w:name w:val="Основной текст (3)_"/>
    <w:basedOn w:val="707"/>
    <w:link w:val="755"/>
    <w:uiPriority w:val="99"/>
    <w:rPr>
      <w:rFonts w:ascii="Arial" w:hAnsi="Arial" w:eastAsia="Times New Roman" w:cs="Arial"/>
      <w:b/>
      <w:bCs/>
      <w:i/>
      <w:iCs/>
      <w:spacing w:val="-10"/>
      <w:sz w:val="17"/>
      <w:szCs w:val="17"/>
      <w:u w:val="none"/>
    </w:rPr>
  </w:style>
  <w:style w:type="character" w:styleId="717" w:customStyle="1">
    <w:name w:val="Основной текст (4)_"/>
    <w:basedOn w:val="707"/>
    <w:link w:val="756"/>
    <w:uiPriority w:val="99"/>
    <w:rPr>
      <w:rFonts w:ascii="Arial" w:hAnsi="Arial" w:eastAsia="Times New Roman" w:cs="Arial"/>
      <w:i/>
      <w:iCs/>
      <w:spacing w:val="-10"/>
      <w:sz w:val="17"/>
      <w:szCs w:val="17"/>
      <w:u w:val="none"/>
    </w:rPr>
  </w:style>
  <w:style w:type="character" w:styleId="718" w:customStyle="1">
    <w:name w:val="Заголовок №1_"/>
    <w:basedOn w:val="707"/>
    <w:link w:val="757"/>
    <w:uiPriority w:val="99"/>
    <w:rPr>
      <w:rFonts w:ascii="Arial" w:hAnsi="Arial" w:eastAsia="Times New Roman" w:cs="Arial"/>
      <w:b/>
      <w:bCs/>
      <w:sz w:val="20"/>
      <w:szCs w:val="20"/>
      <w:u w:val="none"/>
    </w:rPr>
  </w:style>
  <w:style w:type="character" w:styleId="719" w:customStyle="1">
    <w:name w:val="Основной текст (5)_"/>
    <w:basedOn w:val="707"/>
    <w:link w:val="758"/>
    <w:uiPriority w:val="99"/>
    <w:rPr>
      <w:rFonts w:ascii="Franklin Gothic Heavy" w:hAnsi="Franklin Gothic Heavy" w:eastAsia="Times New Roman" w:cs="Franklin Gothic Heavy"/>
      <w:i/>
      <w:iCs/>
      <w:spacing w:val="-10"/>
      <w:sz w:val="13"/>
      <w:szCs w:val="13"/>
      <w:u w:val="none"/>
    </w:rPr>
  </w:style>
  <w:style w:type="character" w:styleId="720" w:customStyle="1">
    <w:name w:val="Основной текст (5) + Arial"/>
    <w:basedOn w:val="719"/>
    <w:uiPriority w:val="99"/>
    <w:rPr>
      <w:rFonts w:ascii="Arial" w:hAnsi="Arial" w:cs="Arial"/>
      <w:b/>
      <w:bCs/>
      <w:color w:val="000000"/>
      <w:spacing w:val="0"/>
      <w:position w:val="0"/>
      <w:sz w:val="15"/>
      <w:szCs w:val="15"/>
      <w:lang w:val="ru-RU"/>
    </w:rPr>
  </w:style>
  <w:style w:type="character" w:styleId="721" w:customStyle="1">
    <w:name w:val="Основной текст (6)_"/>
    <w:basedOn w:val="707"/>
    <w:link w:val="759"/>
    <w:uiPriority w:val="99"/>
    <w:rPr>
      <w:rFonts w:ascii="Arial" w:hAnsi="Arial" w:eastAsia="Times New Roman" w:cs="Arial"/>
      <w:spacing w:val="-10"/>
      <w:sz w:val="16"/>
      <w:szCs w:val="16"/>
      <w:u w:val="none"/>
    </w:rPr>
  </w:style>
  <w:style w:type="character" w:styleId="722" w:customStyle="1">
    <w:name w:val="Основной текст (6)"/>
    <w:basedOn w:val="721"/>
    <w:uiPriority w:val="99"/>
    <w:rPr>
      <w:color w:val="000000"/>
      <w:position w:val="0"/>
      <w:u w:val="single"/>
      <w:lang w:val="ru-RU"/>
    </w:rPr>
  </w:style>
  <w:style w:type="character" w:styleId="723" w:customStyle="1">
    <w:name w:val="Основной текст + Полужирный"/>
    <w:basedOn w:val="712"/>
    <w:uiPriority w:val="99"/>
    <w:rPr>
      <w:b/>
      <w:bCs/>
      <w:i/>
      <w:iCs/>
      <w:color w:val="000000"/>
      <w:position w:val="0"/>
      <w:lang w:val="ru-RU"/>
    </w:rPr>
  </w:style>
  <w:style w:type="character" w:styleId="724" w:customStyle="1">
    <w:name w:val="Основной текст + Курсив"/>
    <w:basedOn w:val="712"/>
    <w:uiPriority w:val="99"/>
    <w:rPr>
      <w:i/>
      <w:iCs/>
      <w:color w:val="000000"/>
      <w:position w:val="0"/>
      <w:lang w:val="ru-RU"/>
    </w:rPr>
  </w:style>
  <w:style w:type="character" w:styleId="725" w:customStyle="1">
    <w:name w:val="Основной текст + 6 pt"/>
    <w:basedOn w:val="712"/>
    <w:uiPriority w:val="99"/>
    <w:rPr>
      <w:b/>
      <w:bCs/>
      <w:color w:val="000000"/>
      <w:spacing w:val="0"/>
      <w:position w:val="0"/>
      <w:sz w:val="12"/>
      <w:szCs w:val="12"/>
      <w:lang w:val="ru-RU"/>
    </w:rPr>
  </w:style>
  <w:style w:type="character" w:styleId="726" w:customStyle="1">
    <w:name w:val="Основной текст (4) + 8 pt"/>
    <w:basedOn w:val="717"/>
    <w:uiPriority w:val="99"/>
    <w:rPr>
      <w:b/>
      <w:bCs/>
      <w:color w:val="000000"/>
      <w:spacing w:val="0"/>
      <w:position w:val="0"/>
      <w:sz w:val="16"/>
      <w:szCs w:val="16"/>
    </w:rPr>
  </w:style>
  <w:style w:type="character" w:styleId="727" w:customStyle="1">
    <w:name w:val="Основной текст (4) + 6 pt"/>
    <w:basedOn w:val="717"/>
    <w:uiPriority w:val="99"/>
    <w:rPr>
      <w:b/>
      <w:bCs/>
      <w:color w:val="000000"/>
      <w:spacing w:val="0"/>
      <w:position w:val="0"/>
      <w:sz w:val="12"/>
      <w:szCs w:val="12"/>
      <w:lang w:val="ru-RU"/>
    </w:rPr>
  </w:style>
  <w:style w:type="character" w:styleId="728" w:customStyle="1">
    <w:name w:val="Основной текст (7)_"/>
    <w:basedOn w:val="707"/>
    <w:link w:val="760"/>
    <w:uiPriority w:val="99"/>
    <w:rPr>
      <w:rFonts w:ascii="Verdana" w:hAnsi="Verdana" w:eastAsia="Times New Roman" w:cs="Verdana"/>
      <w:b/>
      <w:bCs/>
      <w:sz w:val="12"/>
      <w:szCs w:val="12"/>
      <w:u w:val="none"/>
    </w:rPr>
  </w:style>
  <w:style w:type="character" w:styleId="729" w:customStyle="1">
    <w:name w:val="Основной текст1"/>
    <w:basedOn w:val="712"/>
    <w:uiPriority w:val="99"/>
    <w:rPr>
      <w:color w:val="000000"/>
      <w:position w:val="0"/>
      <w:u w:val="single"/>
      <w:lang w:val="ru-RU"/>
    </w:rPr>
  </w:style>
  <w:style w:type="character" w:styleId="730" w:customStyle="1">
    <w:name w:val="Основной текст (6) + 8"/>
    <w:basedOn w:val="721"/>
    <w:uiPriority w:val="99"/>
    <w:rPr>
      <w:i/>
      <w:iCs/>
      <w:color w:val="000000"/>
      <w:spacing w:val="0"/>
      <w:position w:val="0"/>
      <w:sz w:val="17"/>
      <w:szCs w:val="17"/>
      <w:lang w:val="ru-RU"/>
    </w:rPr>
  </w:style>
  <w:style w:type="character" w:styleId="731" w:customStyle="1">
    <w:name w:val="Колонтитул + MS Gothic"/>
    <w:basedOn w:val="713"/>
    <w:uiPriority w:val="99"/>
    <w:rPr>
      <w:rFonts w:ascii="MS Gothic" w:hAnsi="MS Gothic" w:eastAsia="MS Gothic" w:cs="MS Gothic"/>
      <w:color w:val="000000"/>
      <w:spacing w:val="0"/>
      <w:position w:val="0"/>
      <w:sz w:val="15"/>
      <w:szCs w:val="15"/>
      <w:lang w:val="ru-RU"/>
    </w:rPr>
  </w:style>
  <w:style w:type="character" w:styleId="732" w:customStyle="1">
    <w:name w:val="Колонтитул + Arial"/>
    <w:basedOn w:val="713"/>
    <w:uiPriority w:val="99"/>
    <w:rPr>
      <w:rFonts w:ascii="Arial" w:hAnsi="Arial" w:cs="Arial"/>
      <w:color w:val="000000"/>
      <w:spacing w:val="0"/>
      <w:position w:val="0"/>
      <w:sz w:val="8"/>
      <w:szCs w:val="8"/>
    </w:rPr>
  </w:style>
  <w:style w:type="character" w:styleId="733" w:customStyle="1">
    <w:name w:val="Основной текст (4) + Не курсив"/>
    <w:basedOn w:val="717"/>
    <w:uiPriority w:val="99"/>
    <w:rPr>
      <w:color w:val="000000"/>
      <w:position w:val="0"/>
      <w:lang w:val="ru-RU"/>
    </w:rPr>
  </w:style>
  <w:style w:type="character" w:styleId="734" w:customStyle="1">
    <w:name w:val="Основной текст (8)_"/>
    <w:basedOn w:val="707"/>
    <w:link w:val="761"/>
    <w:uiPriority w:val="99"/>
    <w:rPr>
      <w:rFonts w:ascii="Arial" w:hAnsi="Arial" w:eastAsia="Times New Roman" w:cs="Arial"/>
      <w:b/>
      <w:bCs/>
      <w:sz w:val="17"/>
      <w:szCs w:val="17"/>
      <w:u w:val="none"/>
    </w:rPr>
  </w:style>
  <w:style w:type="character" w:styleId="735" w:customStyle="1">
    <w:name w:val="Основной текст (3) + Не курсив"/>
    <w:basedOn w:val="716"/>
    <w:uiPriority w:val="99"/>
    <w:rPr>
      <w:color w:val="000000"/>
      <w:spacing w:val="0"/>
      <w:position w:val="0"/>
      <w:lang w:val="ru-RU"/>
    </w:rPr>
  </w:style>
  <w:style w:type="character" w:styleId="736" w:customStyle="1">
    <w:name w:val="Основной текст (9)_"/>
    <w:basedOn w:val="707"/>
    <w:link w:val="762"/>
    <w:uiPriority w:val="99"/>
    <w:rPr>
      <w:rFonts w:ascii="Arial" w:hAnsi="Arial" w:eastAsia="Times New Roman" w:cs="Arial"/>
      <w:b/>
      <w:bCs/>
      <w:i/>
      <w:iCs/>
      <w:sz w:val="15"/>
      <w:szCs w:val="15"/>
      <w:u w:val="none"/>
    </w:rPr>
  </w:style>
  <w:style w:type="character" w:styleId="737" w:customStyle="1">
    <w:name w:val="Основной текст (10)_"/>
    <w:basedOn w:val="707"/>
    <w:link w:val="763"/>
    <w:uiPriority w:val="99"/>
    <w:rPr>
      <w:rFonts w:ascii="MS Gothic" w:hAnsi="MS Gothic" w:eastAsia="MS Gothic" w:cs="MS Gothic"/>
      <w:sz w:val="11"/>
      <w:szCs w:val="11"/>
      <w:u w:val="none"/>
    </w:rPr>
  </w:style>
  <w:style w:type="character" w:styleId="738" w:customStyle="1">
    <w:name w:val="Основной текст (4) + Полужирный"/>
    <w:basedOn w:val="717"/>
    <w:uiPriority w:val="99"/>
    <w:rPr>
      <w:b/>
      <w:bCs/>
      <w:color w:val="000000"/>
      <w:position w:val="0"/>
      <w:lang w:val="ru-RU"/>
    </w:rPr>
  </w:style>
  <w:style w:type="character" w:styleId="739" w:customStyle="1">
    <w:name w:val="Основной текст (3) + Не полужирный"/>
    <w:basedOn w:val="716"/>
    <w:uiPriority w:val="99"/>
    <w:rPr>
      <w:color w:val="000000"/>
      <w:position w:val="0"/>
      <w:lang w:val="ru-RU"/>
    </w:rPr>
  </w:style>
  <w:style w:type="character" w:styleId="740" w:customStyle="1">
    <w:name w:val="Основной текст + 8 pt"/>
    <w:basedOn w:val="712"/>
    <w:uiPriority w:val="99"/>
    <w:rPr>
      <w:color w:val="000000"/>
      <w:position w:val="0"/>
      <w:sz w:val="16"/>
      <w:szCs w:val="16"/>
      <w:lang w:val="ru-RU"/>
    </w:rPr>
  </w:style>
  <w:style w:type="character" w:styleId="741" w:customStyle="1">
    <w:name w:val="Основной текст + Полужирный3"/>
    <w:basedOn w:val="712"/>
    <w:uiPriority w:val="99"/>
    <w:rPr>
      <w:b/>
      <w:bCs/>
      <w:i/>
      <w:iCs/>
      <w:color w:val="000000"/>
      <w:spacing w:val="-30"/>
      <w:position w:val="0"/>
      <w:lang w:val="ru-RU"/>
    </w:rPr>
  </w:style>
  <w:style w:type="character" w:styleId="742" w:customStyle="1">
    <w:name w:val="Основной текст (11)_"/>
    <w:basedOn w:val="707"/>
    <w:link w:val="764"/>
    <w:uiPriority w:val="99"/>
    <w:rPr>
      <w:rFonts w:ascii="Franklin Gothic Heavy" w:hAnsi="Franklin Gothic Heavy" w:eastAsia="Times New Roman" w:cs="Franklin Gothic Heavy"/>
      <w:sz w:val="15"/>
      <w:szCs w:val="15"/>
      <w:u w:val="none"/>
    </w:rPr>
  </w:style>
  <w:style w:type="character" w:styleId="743" w:customStyle="1">
    <w:name w:val="Основной текст (12)_"/>
    <w:basedOn w:val="707"/>
    <w:link w:val="765"/>
    <w:uiPriority w:val="99"/>
    <w:rPr>
      <w:rFonts w:ascii="Franklin Gothic Heavy" w:hAnsi="Franklin Gothic Heavy" w:eastAsia="Times New Roman" w:cs="Franklin Gothic Heavy"/>
      <w:sz w:val="8"/>
      <w:szCs w:val="8"/>
      <w:u w:val="none"/>
      <w:lang w:val="en-US"/>
    </w:rPr>
  </w:style>
  <w:style w:type="character" w:styleId="744" w:customStyle="1">
    <w:name w:val="Основной текст (12)"/>
    <w:basedOn w:val="743"/>
    <w:uiPriority w:val="99"/>
    <w:rPr>
      <w:strike/>
      <w:color w:val="000000"/>
      <w:spacing w:val="0"/>
      <w:position w:val="0"/>
      <w:lang w:val="ru-RU"/>
    </w:rPr>
  </w:style>
  <w:style w:type="character" w:styleId="745" w:customStyle="1">
    <w:name w:val="Колонтитул + Arial1"/>
    <w:basedOn w:val="713"/>
    <w:uiPriority w:val="99"/>
    <w:rPr>
      <w:rFonts w:ascii="Arial" w:hAnsi="Arial" w:cs="Arial"/>
      <w:i/>
      <w:iCs/>
      <w:color w:val="000000"/>
      <w:spacing w:val="0"/>
      <w:position w:val="0"/>
      <w:sz w:val="18"/>
      <w:szCs w:val="18"/>
    </w:rPr>
  </w:style>
  <w:style w:type="character" w:styleId="746" w:customStyle="1">
    <w:name w:val="Основной текст (13)_"/>
    <w:basedOn w:val="707"/>
    <w:link w:val="766"/>
    <w:uiPriority w:val="99"/>
    <w:rPr>
      <w:rFonts w:ascii="Arial" w:hAnsi="Arial" w:eastAsia="Times New Roman" w:cs="Arial"/>
      <w:b/>
      <w:bCs/>
      <w:sz w:val="15"/>
      <w:szCs w:val="15"/>
      <w:u w:val="none"/>
    </w:rPr>
  </w:style>
  <w:style w:type="character" w:styleId="747" w:customStyle="1">
    <w:name w:val="Основной текст (14)_"/>
    <w:basedOn w:val="707"/>
    <w:link w:val="767"/>
    <w:uiPriority w:val="99"/>
    <w:rPr>
      <w:rFonts w:ascii="Arial" w:hAnsi="Arial" w:eastAsia="Times New Roman" w:cs="Arial"/>
      <w:b/>
      <w:bCs/>
      <w:i/>
      <w:iCs/>
      <w:spacing w:val="-10"/>
      <w:sz w:val="17"/>
      <w:szCs w:val="17"/>
      <w:u w:val="none"/>
    </w:rPr>
  </w:style>
  <w:style w:type="character" w:styleId="748" w:customStyle="1">
    <w:name w:val="Основной текст (14) + Не полужирный"/>
    <w:basedOn w:val="747"/>
    <w:uiPriority w:val="99"/>
    <w:rPr>
      <w:color w:val="000000"/>
      <w:position w:val="0"/>
      <w:lang w:val="ru-RU"/>
    </w:rPr>
  </w:style>
  <w:style w:type="character" w:styleId="749" w:customStyle="1">
    <w:name w:val="Основной текст (14) + Не курсив"/>
    <w:basedOn w:val="747"/>
    <w:uiPriority w:val="99"/>
    <w:rPr>
      <w:color w:val="000000"/>
      <w:spacing w:val="0"/>
      <w:position w:val="0"/>
      <w:lang w:val="ru-RU"/>
    </w:rPr>
  </w:style>
  <w:style w:type="character" w:styleId="750" w:customStyle="1">
    <w:name w:val="Основной текст + Полужирный2"/>
    <w:basedOn w:val="712"/>
    <w:uiPriority w:val="99"/>
    <w:rPr>
      <w:b/>
      <w:bCs/>
      <w:i/>
      <w:iCs/>
      <w:color w:val="000000"/>
      <w:position w:val="0"/>
      <w:lang w:val="ru-RU"/>
    </w:rPr>
  </w:style>
  <w:style w:type="character" w:styleId="751" w:customStyle="1">
    <w:name w:val="Основной текст + Полужирный1"/>
    <w:basedOn w:val="712"/>
    <w:uiPriority w:val="99"/>
    <w:rPr>
      <w:b/>
      <w:bCs/>
      <w:color w:val="000000"/>
      <w:spacing w:val="0"/>
      <w:position w:val="0"/>
    </w:rPr>
  </w:style>
  <w:style w:type="paragraph" w:styleId="752" w:customStyle="1">
    <w:name w:val="Основной текст2"/>
    <w:basedOn w:val="705"/>
    <w:link w:val="712"/>
    <w:uiPriority w:val="99"/>
    <w:pPr>
      <w:ind w:hanging="320"/>
      <w:jc w:val="both"/>
      <w:spacing w:after="300" w:line="186" w:lineRule="exact"/>
      <w:shd w:val="clear" w:color="auto" w:fill="ffffff"/>
    </w:pPr>
    <w:rPr>
      <w:rFonts w:ascii="Arial" w:hAnsi="Arial" w:cs="Arial"/>
      <w:spacing w:val="-10"/>
      <w:sz w:val="17"/>
      <w:szCs w:val="17"/>
    </w:rPr>
  </w:style>
  <w:style w:type="paragraph" w:styleId="753" w:customStyle="1">
    <w:name w:val="Колонтитул1"/>
    <w:basedOn w:val="705"/>
    <w:link w:val="713"/>
    <w:uiPriority w:val="99"/>
    <w:pPr>
      <w:spacing w:line="240" w:lineRule="atLeast"/>
      <w:shd w:val="clear" w:color="auto" w:fill="ffffff"/>
    </w:pPr>
    <w:rPr>
      <w:rFonts w:ascii="Franklin Gothic Heavy" w:hAnsi="Franklin Gothic Heavy" w:cs="Franklin Gothic Heavy"/>
      <w:b/>
      <w:bCs/>
      <w:sz w:val="17"/>
      <w:szCs w:val="17"/>
    </w:rPr>
  </w:style>
  <w:style w:type="paragraph" w:styleId="754" w:customStyle="1">
    <w:name w:val="Основной текст (2)"/>
    <w:basedOn w:val="705"/>
    <w:link w:val="715"/>
    <w:uiPriority w:val="99"/>
    <w:pPr>
      <w:spacing w:before="300" w:after="60" w:line="250" w:lineRule="exact"/>
      <w:shd w:val="clear" w:color="auto" w:fill="ffffff"/>
    </w:pPr>
    <w:rPr>
      <w:rFonts w:ascii="Arial" w:hAnsi="Arial" w:cs="Arial"/>
      <w:b/>
      <w:bCs/>
      <w:spacing w:val="-10"/>
      <w:sz w:val="22"/>
      <w:szCs w:val="22"/>
    </w:rPr>
  </w:style>
  <w:style w:type="paragraph" w:styleId="755" w:customStyle="1">
    <w:name w:val="Основной текст (3)"/>
    <w:basedOn w:val="705"/>
    <w:link w:val="716"/>
    <w:uiPriority w:val="99"/>
    <w:pPr>
      <w:jc w:val="center"/>
      <w:spacing w:before="60" w:after="60" w:line="240" w:lineRule="atLeast"/>
      <w:shd w:val="clear" w:color="auto" w:fill="ffffff"/>
    </w:pPr>
    <w:rPr>
      <w:rFonts w:ascii="Arial" w:hAnsi="Arial" w:cs="Arial"/>
      <w:b/>
      <w:bCs/>
      <w:i/>
      <w:iCs/>
      <w:spacing w:val="-10"/>
      <w:sz w:val="17"/>
      <w:szCs w:val="17"/>
    </w:rPr>
  </w:style>
  <w:style w:type="paragraph" w:styleId="756" w:customStyle="1">
    <w:name w:val="Основной текст (4)"/>
    <w:basedOn w:val="705"/>
    <w:link w:val="717"/>
    <w:uiPriority w:val="99"/>
    <w:pPr>
      <w:jc w:val="right"/>
      <w:spacing w:before="60" w:after="60" w:line="240" w:lineRule="atLeast"/>
      <w:shd w:val="clear" w:color="auto" w:fill="ffffff"/>
    </w:pPr>
    <w:rPr>
      <w:rFonts w:ascii="Arial" w:hAnsi="Arial" w:cs="Arial"/>
      <w:i/>
      <w:iCs/>
      <w:spacing w:val="-10"/>
      <w:sz w:val="17"/>
      <w:szCs w:val="17"/>
    </w:rPr>
  </w:style>
  <w:style w:type="paragraph" w:styleId="757" w:customStyle="1">
    <w:name w:val="Заголовок №1"/>
    <w:basedOn w:val="705"/>
    <w:link w:val="718"/>
    <w:uiPriority w:val="99"/>
    <w:pPr>
      <w:jc w:val="center"/>
      <w:spacing w:before="60" w:after="180" w:line="234" w:lineRule="exact"/>
      <w:shd w:val="clear" w:color="auto" w:fill="ffffff"/>
      <w:outlineLvl w:val="0"/>
    </w:pPr>
    <w:rPr>
      <w:rFonts w:ascii="Arial" w:hAnsi="Arial" w:cs="Arial"/>
      <w:b/>
      <w:bCs/>
      <w:sz w:val="20"/>
      <w:szCs w:val="20"/>
    </w:rPr>
  </w:style>
  <w:style w:type="paragraph" w:styleId="758" w:customStyle="1">
    <w:name w:val="Основной текст (5)"/>
    <w:basedOn w:val="705"/>
    <w:link w:val="719"/>
    <w:uiPriority w:val="99"/>
    <w:pPr>
      <w:jc w:val="center"/>
      <w:spacing w:before="180" w:after="180" w:line="240" w:lineRule="atLeast"/>
      <w:shd w:val="clear" w:color="auto" w:fill="ffffff"/>
    </w:pPr>
    <w:rPr>
      <w:rFonts w:ascii="Franklin Gothic Heavy" w:hAnsi="Franklin Gothic Heavy" w:cs="Franklin Gothic Heavy"/>
      <w:i/>
      <w:iCs/>
      <w:spacing w:val="-10"/>
      <w:sz w:val="13"/>
      <w:szCs w:val="13"/>
    </w:rPr>
  </w:style>
  <w:style w:type="paragraph" w:styleId="759" w:customStyle="1">
    <w:name w:val="Основной текст (6)1"/>
    <w:basedOn w:val="705"/>
    <w:link w:val="721"/>
    <w:uiPriority w:val="99"/>
    <w:pPr>
      <w:jc w:val="both"/>
      <w:spacing w:before="60" w:after="180" w:line="240" w:lineRule="atLeast"/>
      <w:shd w:val="clear" w:color="auto" w:fill="ffffff"/>
    </w:pPr>
    <w:rPr>
      <w:rFonts w:ascii="Arial" w:hAnsi="Arial" w:cs="Arial"/>
      <w:spacing w:val="-10"/>
      <w:sz w:val="16"/>
      <w:szCs w:val="16"/>
    </w:rPr>
  </w:style>
  <w:style w:type="paragraph" w:styleId="760" w:customStyle="1">
    <w:name w:val="Основной текст (7)"/>
    <w:basedOn w:val="705"/>
    <w:link w:val="728"/>
    <w:uiPriority w:val="99"/>
    <w:pPr>
      <w:jc w:val="both"/>
      <w:spacing w:line="195" w:lineRule="exact"/>
      <w:shd w:val="clear" w:color="auto" w:fill="ffffff"/>
    </w:pPr>
    <w:rPr>
      <w:rFonts w:ascii="Verdana" w:hAnsi="Verdana" w:cs="Verdana"/>
      <w:b/>
      <w:bCs/>
      <w:sz w:val="12"/>
      <w:szCs w:val="12"/>
    </w:rPr>
  </w:style>
  <w:style w:type="paragraph" w:styleId="761" w:customStyle="1">
    <w:name w:val="Основной текст (8)"/>
    <w:basedOn w:val="705"/>
    <w:link w:val="734"/>
    <w:uiPriority w:val="99"/>
    <w:pPr>
      <w:spacing w:before="120" w:after="120" w:line="198" w:lineRule="exact"/>
      <w:shd w:val="clear" w:color="auto" w:fill="ffffff"/>
    </w:pPr>
    <w:rPr>
      <w:rFonts w:ascii="Arial" w:hAnsi="Arial" w:cs="Arial"/>
      <w:b/>
      <w:bCs/>
      <w:sz w:val="17"/>
      <w:szCs w:val="17"/>
    </w:rPr>
  </w:style>
  <w:style w:type="paragraph" w:styleId="762" w:customStyle="1">
    <w:name w:val="Основной текст (9)"/>
    <w:basedOn w:val="705"/>
    <w:link w:val="736"/>
    <w:uiPriority w:val="99"/>
    <w:pPr>
      <w:jc w:val="center"/>
      <w:spacing w:line="240" w:lineRule="atLeast"/>
      <w:shd w:val="clear" w:color="auto" w:fill="ffffff"/>
    </w:pPr>
    <w:rPr>
      <w:rFonts w:ascii="Arial" w:hAnsi="Arial" w:cs="Arial"/>
      <w:b/>
      <w:bCs/>
      <w:i/>
      <w:iCs/>
      <w:sz w:val="15"/>
      <w:szCs w:val="15"/>
    </w:rPr>
  </w:style>
  <w:style w:type="paragraph" w:styleId="763" w:customStyle="1">
    <w:name w:val="Основной текст (10)"/>
    <w:basedOn w:val="705"/>
    <w:link w:val="737"/>
    <w:uiPriority w:val="99"/>
    <w:pPr>
      <w:spacing w:line="240" w:lineRule="atLeast"/>
      <w:shd w:val="clear" w:color="auto" w:fill="ffffff"/>
    </w:pPr>
    <w:rPr>
      <w:rFonts w:ascii="MS Gothic" w:hAnsi="MS Gothic" w:eastAsia="MS Gothic" w:cs="MS Gothic"/>
      <w:sz w:val="11"/>
      <w:szCs w:val="11"/>
    </w:rPr>
  </w:style>
  <w:style w:type="paragraph" w:styleId="764" w:customStyle="1">
    <w:name w:val="Основной текст (11)"/>
    <w:basedOn w:val="705"/>
    <w:link w:val="742"/>
    <w:uiPriority w:val="99"/>
    <w:pPr>
      <w:jc w:val="both"/>
      <w:spacing w:before="120" w:after="900" w:line="240" w:lineRule="atLeast"/>
      <w:shd w:val="clear" w:color="auto" w:fill="ffffff"/>
    </w:pPr>
    <w:rPr>
      <w:rFonts w:ascii="Franklin Gothic Heavy" w:hAnsi="Franklin Gothic Heavy" w:cs="Franklin Gothic Heavy"/>
      <w:sz w:val="15"/>
      <w:szCs w:val="15"/>
    </w:rPr>
  </w:style>
  <w:style w:type="paragraph" w:styleId="765" w:customStyle="1">
    <w:name w:val="Основной текст (12)1"/>
    <w:basedOn w:val="705"/>
    <w:link w:val="743"/>
    <w:uiPriority w:val="99"/>
    <w:pPr>
      <w:spacing w:before="900" w:line="240" w:lineRule="atLeast"/>
      <w:shd w:val="clear" w:color="auto" w:fill="ffffff"/>
    </w:pPr>
    <w:rPr>
      <w:rFonts w:ascii="Franklin Gothic Heavy" w:hAnsi="Franklin Gothic Heavy" w:cs="Franklin Gothic Heavy"/>
      <w:sz w:val="8"/>
      <w:szCs w:val="8"/>
      <w:lang w:val="en-US"/>
    </w:rPr>
  </w:style>
  <w:style w:type="paragraph" w:styleId="766" w:customStyle="1">
    <w:name w:val="Основной текст (13)"/>
    <w:basedOn w:val="705"/>
    <w:link w:val="746"/>
    <w:uiPriority w:val="99"/>
    <w:pPr>
      <w:jc w:val="right"/>
      <w:spacing w:before="240" w:line="240" w:lineRule="atLeast"/>
      <w:shd w:val="clear" w:color="auto" w:fill="ffffff"/>
    </w:pPr>
    <w:rPr>
      <w:rFonts w:ascii="Arial" w:hAnsi="Arial" w:cs="Arial"/>
      <w:b/>
      <w:bCs/>
      <w:sz w:val="15"/>
      <w:szCs w:val="15"/>
    </w:rPr>
  </w:style>
  <w:style w:type="paragraph" w:styleId="767" w:customStyle="1">
    <w:name w:val="Основной текст (14)"/>
    <w:basedOn w:val="705"/>
    <w:link w:val="747"/>
    <w:uiPriority w:val="99"/>
    <w:pPr>
      <w:ind w:firstLine="240"/>
      <w:jc w:val="both"/>
      <w:spacing w:line="209" w:lineRule="exact"/>
      <w:shd w:val="clear" w:color="auto" w:fill="ffffff"/>
    </w:pPr>
    <w:rPr>
      <w:rFonts w:ascii="Arial" w:hAnsi="Arial" w:cs="Arial"/>
      <w:b/>
      <w:bCs/>
      <w:i/>
      <w:iCs/>
      <w:spacing w:val="-10"/>
      <w:sz w:val="17"/>
      <w:szCs w:val="17"/>
    </w:rPr>
  </w:style>
  <w:style w:type="paragraph" w:styleId="768">
    <w:name w:val="No Spacing"/>
    <w:uiPriority w:val="1"/>
    <w:qFormat/>
    <w:pPr>
      <w:widowControl w:val="off"/>
    </w:pPr>
    <w:rPr>
      <w:color w:val="000000"/>
      <w:sz w:val="24"/>
      <w:szCs w:val="24"/>
    </w:rPr>
  </w:style>
  <w:style w:type="paragraph" w:styleId="769">
    <w:name w:val="Header"/>
    <w:basedOn w:val="705"/>
    <w:link w:val="770"/>
    <w:uiPriority w:val="99"/>
    <w:semiHidden/>
    <w:pPr>
      <w:tabs>
        <w:tab w:val="center" w:pos="4677" w:leader="none"/>
        <w:tab w:val="right" w:pos="9355" w:leader="none"/>
      </w:tabs>
    </w:pPr>
  </w:style>
  <w:style w:type="character" w:styleId="770" w:customStyle="1">
    <w:name w:val="Верхний колонтитул Знак"/>
    <w:basedOn w:val="707"/>
    <w:link w:val="769"/>
    <w:uiPriority w:val="99"/>
    <w:semiHidden/>
    <w:rPr>
      <w:rFonts w:cs="Times New Roman"/>
      <w:color w:val="000000"/>
    </w:rPr>
  </w:style>
  <w:style w:type="paragraph" w:styleId="771">
    <w:name w:val="Footer"/>
    <w:basedOn w:val="705"/>
    <w:link w:val="772"/>
    <w:uiPriority w:val="99"/>
    <w:semiHidden/>
    <w:pPr>
      <w:tabs>
        <w:tab w:val="center" w:pos="4677" w:leader="none"/>
        <w:tab w:val="right" w:pos="9355" w:leader="none"/>
      </w:tabs>
    </w:pPr>
  </w:style>
  <w:style w:type="character" w:styleId="772" w:customStyle="1">
    <w:name w:val="Нижний колонтитул Знак"/>
    <w:basedOn w:val="707"/>
    <w:link w:val="771"/>
    <w:uiPriority w:val="99"/>
    <w:semiHidden/>
    <w:rPr>
      <w:rFonts w:cs="Times New Roman"/>
      <w:color w:val="000000"/>
    </w:rPr>
  </w:style>
  <w:style w:type="paragraph" w:styleId="773">
    <w:name w:val="Body Text Indent 2"/>
    <w:basedOn w:val="705"/>
    <w:link w:val="774"/>
    <w:uiPriority w:val="99"/>
    <w:semiHidden/>
    <w:pPr>
      <w:ind w:left="283"/>
      <w:spacing w:after="120" w:line="480" w:lineRule="auto"/>
      <w:widowControl/>
    </w:pPr>
    <w:rPr>
      <w:rFonts w:ascii="Times New Roman" w:hAnsi="Times New Roman" w:eastAsia="Times New Roman" w:cs="Times New Roman"/>
      <w:color w:val="auto"/>
    </w:rPr>
  </w:style>
  <w:style w:type="character" w:styleId="774" w:customStyle="1">
    <w:name w:val="Основной текст с отступом 2 Знак"/>
    <w:basedOn w:val="707"/>
    <w:link w:val="773"/>
    <w:uiPriority w:val="99"/>
    <w:semiHidden/>
    <w:rPr>
      <w:rFonts w:ascii="Times New Roman" w:hAnsi="Times New Roman" w:cs="Times New Roman"/>
    </w:rPr>
  </w:style>
  <w:style w:type="table" w:styleId="775">
    <w:name w:val="Table Grid"/>
    <w:basedOn w:val="708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776">
    <w:name w:val="Body Text 2"/>
    <w:basedOn w:val="705"/>
    <w:link w:val="777"/>
    <w:uiPriority w:val="99"/>
    <w:semiHidden/>
    <w:pPr>
      <w:spacing w:after="120" w:line="480" w:lineRule="auto"/>
    </w:pPr>
  </w:style>
  <w:style w:type="character" w:styleId="777" w:customStyle="1">
    <w:name w:val="Основной текст 2 Знак"/>
    <w:basedOn w:val="707"/>
    <w:link w:val="776"/>
    <w:uiPriority w:val="99"/>
    <w:semiHidden/>
    <w:rPr>
      <w:rFonts w:cs="Times New Roman"/>
      <w:color w:val="000000"/>
    </w:rPr>
  </w:style>
  <w:style w:type="paragraph" w:styleId="778" w:customStyle="1">
    <w:name w:val="ConsPlusNormal"/>
    <w:uiPriority w:val="99"/>
    <w:pPr>
      <w:ind w:firstLine="720"/>
      <w:widowControl w:val="off"/>
    </w:pPr>
    <w:rPr>
      <w:rFonts w:ascii="Arial" w:hAnsi="Arial" w:eastAsia="Times New Roman" w:cs="Arial"/>
    </w:rPr>
  </w:style>
  <w:style w:type="paragraph" w:styleId="779">
    <w:name w:val="List Paragraph"/>
    <w:basedOn w:val="705"/>
    <w:link w:val="780"/>
    <w:uiPriority w:val="99"/>
    <w:qFormat/>
    <w:pPr>
      <w:contextualSpacing/>
      <w:ind w:left="720"/>
      <w:spacing w:after="160" w:line="259" w:lineRule="auto"/>
      <w:widowControl/>
    </w:pPr>
    <w:rPr>
      <w:rFonts w:ascii="Calibri" w:hAnsi="Calibri" w:cs="Times New Roman"/>
      <w:color w:val="auto"/>
      <w:sz w:val="22"/>
      <w:szCs w:val="22"/>
      <w:lang w:eastAsia="en-US"/>
    </w:rPr>
  </w:style>
  <w:style w:type="character" w:styleId="780" w:customStyle="1">
    <w:name w:val="Абзац списка Знак"/>
    <w:link w:val="779"/>
    <w:uiPriority w:val="99"/>
    <w:rPr>
      <w:rFonts w:ascii="Calibri" w:hAnsi="Calibri" w:cs="Times New Roman"/>
      <w:sz w:val="22"/>
      <w:szCs w:val="22"/>
      <w:lang w:eastAsia="en-US"/>
    </w:rPr>
  </w:style>
  <w:style w:type="paragraph" w:styleId="781">
    <w:name w:val="Balloon Text"/>
    <w:basedOn w:val="705"/>
    <w:link w:val="782"/>
    <w:uiPriority w:val="99"/>
    <w:semiHidden/>
    <w:unhideWhenUsed/>
    <w:rPr>
      <w:rFonts w:ascii="Tahoma" w:hAnsi="Tahoma" w:cs="Tahoma"/>
      <w:sz w:val="16"/>
      <w:szCs w:val="16"/>
    </w:rPr>
  </w:style>
  <w:style w:type="character" w:styleId="782" w:customStyle="1">
    <w:name w:val="Текст выноски Знак"/>
    <w:basedOn w:val="707"/>
    <w:link w:val="781"/>
    <w:uiPriority w:val="99"/>
    <w:semiHidden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Р7-Офис/2025.2.1.801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odminko</dc:creator>
  <cp:keywords/>
  <dc:description/>
  <cp:lastModifiedBy>Ефимова Е Н</cp:lastModifiedBy>
  <cp:revision>128</cp:revision>
  <dcterms:created xsi:type="dcterms:W3CDTF">2014-09-15T13:03:00Z</dcterms:created>
  <dcterms:modified xsi:type="dcterms:W3CDTF">2026-07-15T07:15:50Z</dcterms:modified>
</cp:coreProperties>
</file>