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</w:t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«Оренбургский госуда</w:t>
      </w:r>
      <w:r>
        <w:rPr>
          <w:rFonts w:ascii="Times New Roman" w:hAnsi="Times New Roman" w:cs="Times New Roman"/>
        </w:rPr>
        <w:t xml:space="preserve">рственный колледж»</w:t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5071"/>
      </w:tblGrid>
      <w:tr>
        <w:tblPrEx/>
        <w:trPr/>
        <w:tc>
          <w:tcPr>
            <w:tcW w:w="50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</w:r>
            <w:r>
              <w:rPr>
                <w:rFonts w:ascii="Times New Roman" w:hAnsi="Times New Roman" w:cs="Times New Roman"/>
                <w:caps/>
              </w:rPr>
            </w:r>
          </w:p>
        </w:tc>
        <w:tc>
          <w:tcPr>
            <w:tcW w:w="5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</w:r>
            <w:r>
              <w:rPr>
                <w:rFonts w:ascii="Times New Roman" w:hAnsi="Times New Roman" w:cs="Times New Roman"/>
                <w:caps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</w:r>
      <w:r>
        <w:rPr>
          <w:rFonts w:ascii="Times New Roman" w:hAnsi="Times New Roman" w:cs="Times New Roman"/>
          <w:caps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</w:r>
      <w:r>
        <w:rPr>
          <w:rFonts w:ascii="Times New Roman" w:hAnsi="Times New Roman" w:cs="Times New Roman"/>
          <w:b/>
          <w:bCs/>
          <w:lang w:val="en-US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</w:r>
      <w:r>
        <w:rPr>
          <w:rFonts w:ascii="Times New Roman" w:hAnsi="Times New Roman" w:cs="Times New Roman"/>
          <w:b/>
          <w:bCs/>
          <w:lang w:val="en-US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</w:r>
      <w:r>
        <w:rPr>
          <w:rFonts w:ascii="Times New Roman" w:hAnsi="Times New Roman" w:cs="Times New Roman"/>
          <w:b/>
          <w:bCs/>
          <w:lang w:val="en-US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</w:r>
      <w:r>
        <w:rPr>
          <w:rFonts w:ascii="Times New Roman" w:hAnsi="Times New Roman" w:cs="Times New Roman"/>
          <w:b/>
          <w:bCs/>
          <w:lang w:val="en-US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ПРОГРАММА</w:t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ГОСУДАРСТВЕННОЙ ИТОГОВОЙ АТТЕСТАЦИИ</w:t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по программе подготовки квалифицированных рабочих, служащих</w:t>
      </w:r>
      <w:r>
        <w:rPr>
          <w:rFonts w:ascii="Times New Roman" w:hAnsi="Times New Roman" w:cs="Times New Roman"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 профессии </w:t>
      </w:r>
      <w:r>
        <w:rPr>
          <w:rFonts w:ascii="Times New Roman" w:hAnsi="Times New Roman" w:cs="Times New Roman"/>
        </w:rPr>
        <w:t xml:space="preserve">15.01.37 Слесарь-наладчик контрольно-измерительных приборов и автоматике</w:t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52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bookmarkEnd w:id="0"/>
      <w:r>
        <w:rPr>
          <w:rFonts w:ascii="Times New Roman" w:hAnsi="Times New Roman" w:cs="Times New Roman"/>
          <w:b/>
        </w:rPr>
      </w:r>
    </w:p>
    <w:p>
      <w:pPr>
        <w:pStyle w:val="776"/>
        <w:numPr>
          <w:ilvl w:val="0"/>
          <w:numId w:val="29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Общие положения</w:t>
      </w:r>
      <w:r>
        <w:rPr>
          <w:rFonts w:ascii="Times New Roman" w:hAnsi="Times New Roman" w:cs="Times New Roman"/>
          <w:b/>
        </w:rPr>
      </w:r>
    </w:p>
    <w:p>
      <w:pPr>
        <w:pStyle w:val="776"/>
        <w:ind w:left="92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right="12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1.1 </w:t>
      </w:r>
      <w:r>
        <w:rPr>
          <w:rFonts w:ascii="Times New Roman" w:hAnsi="Times New Roman" w:cs="Times New Roman"/>
        </w:rPr>
        <w:t xml:space="preserve">Программа государственной итоговой аттестации является частью программы подг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товки квалифицированных рабочих, служащих по профессии среднего профессионального</w:t>
      </w:r>
      <w:r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б</w:t>
      </w:r>
      <w:r>
        <w:rPr>
          <w:rFonts w:ascii="Times New Roman" w:hAnsi="Times New Roman" w:cs="Times New Roman"/>
        </w:rPr>
        <w:t xml:space="preserve">разования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15.01.37 Слесарь-наладчик контрольно-измерительных приборов и автоматике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среднего профессионального образования </w:t>
      </w:r>
      <w:r>
        <w:rPr>
          <w:rFonts w:ascii="Times New Roman" w:hAnsi="Times New Roman" w:cs="Times New Roman"/>
        </w:rPr>
        <w:t xml:space="preserve">разработанной на основе ФГОС СПО по профессии </w:t>
      </w:r>
      <w:r>
        <w:rPr>
          <w:rFonts w:ascii="Times New Roman" w:hAnsi="Times New Roman" w:cs="Times New Roman"/>
        </w:rPr>
        <w:t xml:space="preserve">15.01.37 Слесарь-наладчик контрольно-измерительных приборов и автоматике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утвержденного приказом Министерства образования и науки от </w:t>
      </w:r>
      <w:r>
        <w:rPr>
          <w:rFonts w:ascii="Times New Roman" w:hAnsi="Times New Roman" w:cs="Times New Roman"/>
        </w:rPr>
        <w:t xml:space="preserve">30.11.2023</w:t>
      </w:r>
      <w:r>
        <w:rPr>
          <w:rFonts w:ascii="Times New Roman" w:hAnsi="Times New Roman" w:cs="Times New Roman"/>
        </w:rPr>
        <w:t xml:space="preserve"> (зарегистрирован Министерством юсти</w:t>
      </w:r>
      <w:r>
        <w:rPr>
          <w:rFonts w:ascii="Times New Roman" w:hAnsi="Times New Roman" w:cs="Times New Roman"/>
        </w:rPr>
        <w:t xml:space="preserve">ции Российской Федерации 25.12.2023</w:t>
      </w:r>
      <w:r>
        <w:rPr>
          <w:rFonts w:ascii="Times New Roman" w:hAnsi="Times New Roman" w:cs="Times New Roman"/>
        </w:rPr>
        <w:t xml:space="preserve">, регистрационный № </w:t>
      </w:r>
      <w:r>
        <w:rPr>
          <w:rFonts w:ascii="Times New Roman" w:hAnsi="Times New Roman" w:cs="Times New Roman"/>
        </w:rPr>
        <w:t xml:space="preserve">76635</w:t>
      </w:r>
      <w:r>
        <w:rPr>
          <w:rFonts w:ascii="Times New Roman" w:hAnsi="Times New Roman" w:cs="Times New Roman"/>
        </w:rPr>
        <w:t xml:space="preserve">) и реализуемой на базе</w:t>
      </w:r>
      <w:r>
        <w:rPr>
          <w:rFonts w:ascii="Times New Roman" w:hAnsi="Times New Roman" w:cs="Times New Roman"/>
          <w:bCs/>
        </w:rPr>
        <w:t xml:space="preserve"> основного общего образования. Квалификация: </w:t>
      </w:r>
      <w:r>
        <w:rPr>
          <w:rFonts w:ascii="Times New Roman" w:hAnsi="Times New Roman" w:cs="Times New Roman"/>
          <w:bCs/>
        </w:rPr>
        <w:t xml:space="preserve">слесарь</w:t>
      </w:r>
      <w:r>
        <w:rPr>
          <w:rFonts w:ascii="Times New Roman" w:hAnsi="Times New Roman" w:cs="Times New Roman"/>
          <w:bCs/>
        </w:rPr>
        <w:t xml:space="preserve">-наладчик контрольно-измерительных</w:t>
      </w:r>
      <w:r>
        <w:rPr>
          <w:rFonts w:ascii="Times New Roman" w:hAnsi="Times New Roman" w:cs="Times New Roman"/>
          <w:bCs/>
        </w:rPr>
        <w:t xml:space="preserve"> прибо</w:t>
      </w:r>
      <w:r>
        <w:rPr>
          <w:rFonts w:ascii="Times New Roman" w:hAnsi="Times New Roman" w:cs="Times New Roman"/>
          <w:bCs/>
        </w:rPr>
        <w:t xml:space="preserve">ров</w:t>
      </w:r>
      <w:r>
        <w:rPr>
          <w:rFonts w:ascii="Times New Roman" w:hAnsi="Times New Roman" w:cs="Times New Roman"/>
          <w:bCs/>
        </w:rPr>
        <w:t xml:space="preserve"> и автоматик</w:t>
      </w:r>
      <w:r>
        <w:rPr>
          <w:rFonts w:ascii="Times New Roman" w:hAnsi="Times New Roman" w:cs="Times New Roman"/>
          <w:bCs/>
        </w:rPr>
        <w:t xml:space="preserve">и</w:t>
      </w:r>
      <w:r>
        <w:rPr>
          <w:rFonts w:ascii="Times New Roman" w:hAnsi="Times New Roman" w:cs="Times New Roman"/>
          <w:bCs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567"/>
        <w:jc w:val="both"/>
        <w:shd w:val="clear" w:color="auto" w:fill="ffffff"/>
        <w:tabs>
          <w:tab w:val="left" w:pos="0" w:leader="none"/>
          <w:tab w:val="left" w:pos="1701" w:leader="none"/>
        </w:tabs>
        <w:rPr>
          <w:rFonts w:ascii="Times New Roman" w:hAnsi="Times New Roman" w:cs="Times New Roman"/>
        </w:rPr>
      </w:pPr>
      <w:r>
        <w:rPr>
          <w:rStyle w:val="732"/>
          <w:rFonts w:ascii="Times New Roman" w:hAnsi="Times New Roman" w:eastAsia="Courier New" w:cs="Times New Roman"/>
          <w:i w:val="0"/>
          <w:spacing w:val="0"/>
          <w:sz w:val="24"/>
          <w:szCs w:val="24"/>
        </w:rPr>
        <w:t xml:space="preserve">1.2 </w:t>
      </w:r>
      <w:r>
        <w:rPr>
          <w:rFonts w:ascii="Times New Roman" w:hAnsi="Times New Roman" w:cs="Times New Roman"/>
        </w:rPr>
        <w:t xml:space="preserve">Программа государственной итоговой аттестации разработана в соответствии с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Федеральный закон от 29 декабря </w:t>
      </w:r>
      <w:r>
        <w:rPr>
          <w:rFonts w:ascii="Times New Roman" w:hAnsi="Times New Roman" w:cs="Times New Roman"/>
        </w:rPr>
        <w:t xml:space="preserve">2012 г</w:t>
      </w:r>
      <w:r>
        <w:rPr>
          <w:rFonts w:ascii="Times New Roman" w:hAnsi="Times New Roman" w:cs="Times New Roman"/>
        </w:rPr>
        <w:t xml:space="preserve">. № 273-ФЗ «Об образовании в Российской Ф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дерации» с изменениями от 25.04.2026 года; 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iCs/>
        </w:rPr>
      </w:pPr>
      <w:r/>
      <w:bookmarkStart w:id="1" w:name="h113"/>
      <w:r/>
      <w:bookmarkEnd w:id="1"/>
      <w:r>
        <w:rPr>
          <w:rFonts w:ascii="Times New Roman" w:hAnsi="Times New Roman" w:cs="Times New Roman"/>
          <w:iCs/>
        </w:rPr>
        <w:t xml:space="preserve">- Приказ Министерства просвещения РФ от 24 августа 2022 г. N 762</w:t>
      </w:r>
      <w:bookmarkStart w:id="2" w:name="l2"/>
      <w:r/>
      <w:bookmarkEnd w:id="2"/>
      <w:r>
        <w:rPr>
          <w:rFonts w:ascii="Times New Roman" w:hAnsi="Times New Roman" w:cs="Times New Roman"/>
          <w:iCs/>
        </w:rPr>
        <w:t xml:space="preserve"> «Об утверждении п</w:t>
      </w:r>
      <w:r>
        <w:rPr>
          <w:rFonts w:ascii="Times New Roman" w:hAnsi="Times New Roman" w:cs="Times New Roman"/>
          <w:iCs/>
        </w:rPr>
        <w:t xml:space="preserve">о</w:t>
      </w:r>
      <w:r>
        <w:rPr>
          <w:rFonts w:ascii="Times New Roman" w:hAnsi="Times New Roman" w:cs="Times New Roman"/>
          <w:iCs/>
        </w:rPr>
        <w:t xml:space="preserve">рядка организации и осуществления образовательной деятельности по образовательным пр</w:t>
      </w:r>
      <w:r>
        <w:rPr>
          <w:rFonts w:ascii="Times New Roman" w:hAnsi="Times New Roman" w:cs="Times New Roman"/>
          <w:iCs/>
        </w:rPr>
        <w:t xml:space="preserve">о</w:t>
      </w:r>
      <w:r>
        <w:rPr>
          <w:rFonts w:ascii="Times New Roman" w:hAnsi="Times New Roman" w:cs="Times New Roman"/>
          <w:iCs/>
        </w:rPr>
        <w:t xml:space="preserve">граммам среднего профессионального образования» с изменениями от 16.04.2026 года.</w:t>
      </w:r>
      <w:r>
        <w:rPr>
          <w:rFonts w:ascii="Times New Roman" w:hAnsi="Times New Roman" w:cs="Times New Roman"/>
          <w:iCs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Приказ Министерства просвещения РФ от 8 ноября 2021г. №800 «Об утверждении П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рядка проведения государственной итоговой аттестации по образовательным программам сре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него профессионального образования», с изменениями от 22.11.2024 года.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ФГОС СПО по профессии </w:t>
      </w:r>
      <w:r>
        <w:rPr>
          <w:rFonts w:ascii="Times New Roman" w:hAnsi="Times New Roman" w:cs="Times New Roman"/>
          <w:bCs/>
        </w:rPr>
        <w:t xml:space="preserve">15.01.37 Слесарь-наладчик контрольно-измерительных пр</w:t>
      </w:r>
      <w:r>
        <w:rPr>
          <w:rFonts w:ascii="Times New Roman" w:hAnsi="Times New Roman" w:cs="Times New Roman"/>
          <w:bCs/>
        </w:rPr>
        <w:t xml:space="preserve">и</w:t>
      </w:r>
      <w:r>
        <w:rPr>
          <w:rFonts w:ascii="Times New Roman" w:hAnsi="Times New Roman" w:cs="Times New Roman"/>
          <w:bCs/>
        </w:rPr>
        <w:t xml:space="preserve">боров и автоматике</w:t>
      </w:r>
      <w:r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утвержденного приказом Министерства образования и науки от </w:t>
      </w:r>
      <w:r>
        <w:rPr>
          <w:rFonts w:ascii="Times New Roman" w:hAnsi="Times New Roman" w:cs="Times New Roman"/>
          <w:bCs/>
        </w:rPr>
        <w:t xml:space="preserve">30.11.2023</w:t>
      </w:r>
      <w:r>
        <w:rPr>
          <w:rFonts w:ascii="Times New Roman" w:hAnsi="Times New Roman" w:cs="Times New Roman"/>
          <w:bCs/>
        </w:rPr>
        <w:t xml:space="preserve"> № 903</w:t>
      </w:r>
      <w:r>
        <w:rPr>
          <w:rFonts w:ascii="Times New Roman" w:hAnsi="Times New Roman" w:cs="Times New Roman"/>
          <w:bCs/>
        </w:rPr>
        <w:t xml:space="preserve"> (зарегистрирован Министерством юстиции Российской Федерации 25.12.2023, регистр</w:t>
      </w:r>
      <w:r>
        <w:rPr>
          <w:rFonts w:ascii="Times New Roman" w:hAnsi="Times New Roman" w:cs="Times New Roman"/>
          <w:bCs/>
        </w:rPr>
        <w:t xml:space="preserve">а</w:t>
      </w:r>
      <w:r>
        <w:rPr>
          <w:rFonts w:ascii="Times New Roman" w:hAnsi="Times New Roman" w:cs="Times New Roman"/>
          <w:bCs/>
        </w:rPr>
        <w:t xml:space="preserve">цион</w:t>
      </w:r>
      <w:r>
        <w:rPr>
          <w:rFonts w:ascii="Times New Roman" w:hAnsi="Times New Roman" w:cs="Times New Roman"/>
          <w:bCs/>
        </w:rPr>
        <w:t xml:space="preserve">ный № 76635);</w:t>
      </w:r>
      <w:r>
        <w:rPr>
          <w:rFonts w:ascii="Times New Roman" w:hAnsi="Times New Roman" w:cs="Times New Roman"/>
          <w:bCs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П</w:t>
      </w:r>
      <w:r>
        <w:rPr>
          <w:rFonts w:ascii="Times New Roman" w:hAnsi="Times New Roman" w:cs="Times New Roman"/>
          <w:shd w:val="clear" w:color="auto" w:fill="ffffff"/>
        </w:rPr>
        <w:t xml:space="preserve">риказ ФГБОУ ДПО ИРПО от 22.07.2023 № П-291 «Об утверждении методики провед</w:t>
      </w:r>
      <w:r>
        <w:rPr>
          <w:rFonts w:ascii="Times New Roman" w:hAnsi="Times New Roman" w:cs="Times New Roman"/>
          <w:shd w:val="clear" w:color="auto" w:fill="ffffff"/>
        </w:rPr>
        <w:t xml:space="preserve">е</w:t>
      </w:r>
      <w:r>
        <w:rPr>
          <w:rFonts w:ascii="Times New Roman" w:hAnsi="Times New Roman" w:cs="Times New Roman"/>
          <w:shd w:val="clear" w:color="auto" w:fill="ffffff"/>
        </w:rPr>
        <w:t xml:space="preserve">ния демонстрационного экзамена»;</w:t>
      </w:r>
      <w:r>
        <w:rPr>
          <w:rFonts w:ascii="Times New Roman" w:hAnsi="Times New Roman" w:cs="Times New Roman"/>
          <w:bCs/>
        </w:rPr>
      </w:r>
    </w:p>
    <w:p>
      <w:pPr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нормативные локальные акты ГАПОУ «Оренбургский государственный колледж».</w:t>
      </w:r>
      <w:r>
        <w:rPr>
          <w:rFonts w:ascii="Times New Roman" w:hAnsi="Times New Roman" w:cs="Times New Roman"/>
          <w:bCs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Style w:val="732"/>
          <w:rFonts w:ascii="Times New Roman" w:hAnsi="Times New Roman" w:eastAsia="Courier New" w:cs="Times New Roman"/>
          <w:i w:val="0"/>
          <w:spacing w:val="0"/>
          <w:sz w:val="24"/>
          <w:szCs w:val="24"/>
        </w:rPr>
        <w:t xml:space="preserve">1.3 </w:t>
      </w:r>
      <w:r>
        <w:rPr>
          <w:rFonts w:ascii="Times New Roman" w:hAnsi="Times New Roman" w:cs="Times New Roman"/>
        </w:rPr>
        <w:t xml:space="preserve">Государственная </w:t>
      </w:r>
      <w:r>
        <w:rPr>
          <w:rFonts w:ascii="Times New Roman" w:hAnsi="Times New Roman" w:cs="Times New Roman"/>
        </w:rPr>
        <w:t xml:space="preserve">итоговая аттестация проводится с целью </w:t>
      </w:r>
      <w:r>
        <w:rPr>
          <w:rFonts w:ascii="Times New Roman" w:hAnsi="Times New Roman" w:cs="Times New Roman"/>
        </w:rPr>
        <w:t xml:space="preserve">определения: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соответствия р</w:t>
      </w:r>
      <w:r>
        <w:rPr>
          <w:rFonts w:ascii="Times New Roman" w:hAnsi="Times New Roman" w:cs="Times New Roman"/>
        </w:rPr>
        <w:t xml:space="preserve">езультатов освоения обучающихся</w:t>
      </w:r>
      <w:r>
        <w:rPr>
          <w:rFonts w:ascii="Times New Roman" w:hAnsi="Times New Roman" w:cs="Times New Roman"/>
        </w:rPr>
        <w:t xml:space="preserve"> программы подготовки квалифицир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ванных рабочих, служащих по профессии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15.01.37 Слесарь-наладчик контрольно-измерительных приборов и автоматике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соответствующим требованиям федерального госуда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ственного образовательного стандарта среднего профессионального образования и работодат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лей;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готовности выпускника к следующим видам деятельности и сформированности у вып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скника соответствующих профессиональных компетенций (ПК):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494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660"/>
        <w:gridCol w:w="7371"/>
      </w:tblGrid>
      <w:tr>
        <w:tblPrEx/>
        <w:trPr/>
        <w:tc>
          <w:tcPr>
            <w:tcW w:w="1326" w:type="pct"/>
            <w:textDirection w:val="lrTb"/>
            <w:noWrap w:val="false"/>
          </w:tcPr>
          <w:p>
            <w:pPr>
              <w:pStyle w:val="7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ВД 1 В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ыполнение мо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н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тажа контрольно-измерительных приб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о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ров и электрических схем систем автомат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и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674" w:type="pct"/>
            <w:textDirection w:val="lrTb"/>
            <w:noWrap w:val="false"/>
          </w:tcPr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1.1. Осуществлять подготовку к использованию инструмента, оборудования и приспособлений.</w:t>
            </w:r>
            <w:r>
              <w:rPr>
                <w:color w:val="22272f"/>
              </w:rPr>
            </w:r>
          </w:p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1.2. Определять последовательность и оптимальные способы монтажа контрольно-измерительных приборов и электрических схем различных систем автоматики.</w:t>
            </w:r>
            <w:r>
              <w:rPr>
                <w:color w:val="22272f"/>
              </w:rPr>
            </w:r>
          </w:p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1.3. Производить монтаж и демонтаж, сборку и разборку ко</w:t>
            </w:r>
            <w:r>
              <w:rPr>
                <w:color w:val="22272f"/>
              </w:rPr>
              <w:t xml:space="preserve">н</w:t>
            </w:r>
            <w:r>
              <w:rPr>
                <w:color w:val="22272f"/>
              </w:rPr>
              <w:t xml:space="preserve">трольно-измерительных приборов, электрических схем различных систем автоматики, систем управления оборудованием на базе ми</w:t>
            </w:r>
            <w:r>
              <w:rPr>
                <w:color w:val="22272f"/>
              </w:rPr>
              <w:t xml:space="preserve">к</w:t>
            </w:r>
            <w:r>
              <w:rPr>
                <w:color w:val="22272f"/>
              </w:rPr>
              <w:t xml:space="preserve">ропроцессорной техники.</w:t>
            </w:r>
            <w:r>
              <w:rPr>
                <w:color w:val="22272f"/>
              </w:rPr>
            </w:r>
          </w:p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1.4. Осуществлять слесарную обработку, восстановление и зам</w:t>
            </w:r>
            <w:r>
              <w:rPr>
                <w:color w:val="22272f"/>
              </w:rPr>
              <w:t xml:space="preserve">е</w:t>
            </w:r>
            <w:r>
              <w:rPr>
                <w:color w:val="22272f"/>
              </w:rPr>
              <w:t xml:space="preserve">ну поврежденных деталей и узлов контрольно-измерительных пр</w:t>
            </w:r>
            <w:r>
              <w:rPr>
                <w:color w:val="22272f"/>
              </w:rPr>
              <w:t xml:space="preserve">и</w:t>
            </w:r>
            <w:r>
              <w:rPr>
                <w:color w:val="22272f"/>
              </w:rPr>
              <w:t xml:space="preserve">боров, монтаж и устранение неисправностей электрических схем систем автоматики.</w:t>
            </w:r>
            <w:r>
              <w:rPr>
                <w:color w:val="22272f"/>
              </w:rPr>
            </w:r>
          </w:p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1.5. Читать электрические схемы подключения контрольно-измерительных приборов и систем автоматики.</w:t>
            </w:r>
            <w:r>
              <w:rPr>
                <w:color w:val="22272f"/>
              </w:rPr>
            </w:r>
          </w:p>
          <w:p>
            <w:pPr>
              <w:pStyle w:val="7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326" w:type="pct"/>
            <w:textDirection w:val="lrTb"/>
            <w:noWrap w:val="false"/>
          </w:tcPr>
          <w:p>
            <w:pPr>
              <w:pStyle w:val="776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ВД 2 В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едение наладки, юстировки и сдача в эксплуатацию ко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н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трольно-измерительных приб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о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ров и электрических схем систем автомат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и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ки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674" w:type="pct"/>
            <w:textDirection w:val="lrTb"/>
            <w:noWrap w:val="false"/>
          </w:tcPr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2.1. Определять последовательность и требования к основным этапам пусконаладочных работ контрольно-измерительных приб</w:t>
            </w:r>
            <w:r>
              <w:rPr>
                <w:color w:val="22272f"/>
              </w:rPr>
              <w:t xml:space="preserve">о</w:t>
            </w:r>
            <w:r>
              <w:rPr>
                <w:color w:val="22272f"/>
              </w:rPr>
              <w:t xml:space="preserve">ров и систем автоматики на основе инструкций изготовителя и но</w:t>
            </w:r>
            <w:r>
              <w:rPr>
                <w:color w:val="22272f"/>
              </w:rPr>
              <w:t xml:space="preserve">р</w:t>
            </w:r>
            <w:r>
              <w:rPr>
                <w:color w:val="22272f"/>
              </w:rPr>
              <w:t xml:space="preserve">мативно-технических документов.</w:t>
            </w:r>
            <w:r>
              <w:rPr>
                <w:color w:val="22272f"/>
              </w:rPr>
            </w:r>
          </w:p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2.2. Выполнять пусконаладочные работы контрольно-измерительных приборов и систем автоматики.</w:t>
            </w:r>
            <w:r>
              <w:rPr>
                <w:color w:val="22272f"/>
              </w:rPr>
            </w:r>
          </w:p>
          <w:p>
            <w:pPr>
              <w:pStyle w:val="7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1326" w:type="pct"/>
            <w:textDirection w:val="lrTb"/>
            <w:noWrap w:val="false"/>
          </w:tcPr>
          <w:p>
            <w:pPr>
              <w:pStyle w:val="7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ВД 3 В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едение технич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е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ского обслуживания, эксплуатации и ремо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н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та контрольно-измерительных приб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о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ров и электрических схем систем автомат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и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674" w:type="pct"/>
            <w:textDirection w:val="lrTb"/>
            <w:noWrap w:val="false"/>
          </w:tcPr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3.1. Осуществлять подготовку к использованию оборудования и устройств для поверки, калибровки и проверки контрольно-измерительных приборов и систем автоматики.</w:t>
            </w:r>
            <w:r>
              <w:rPr>
                <w:color w:val="22272f"/>
              </w:rPr>
            </w:r>
          </w:p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3.2. Определять последовательность и оптимальные режимы технического обслуживания контрольно-измерительных приборов и систем автоматики.</w:t>
            </w:r>
            <w:r>
              <w:rPr>
                <w:color w:val="22272f"/>
              </w:rPr>
            </w:r>
          </w:p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3.3. Осуществлять поверку, калибровку и проверку контрольно-измерительных приборов и систем автоматики.</w:t>
            </w:r>
            <w:r>
              <w:rPr>
                <w:color w:val="22272f"/>
              </w:rPr>
            </w:r>
          </w:p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3.4. Осуществлять поиск и выявление причин неисправностей контрольно-измерительных приборов и систем автоматики.</w:t>
            </w:r>
            <w:r>
              <w:rPr>
                <w:color w:val="22272f"/>
              </w:rPr>
            </w:r>
          </w:p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3.5. Разрабатывать простые схемы работы и регулирования ко</w:t>
            </w:r>
            <w:r>
              <w:rPr>
                <w:color w:val="22272f"/>
              </w:rPr>
              <w:t xml:space="preserve">н</w:t>
            </w:r>
            <w:r>
              <w:rPr>
                <w:color w:val="22272f"/>
              </w:rPr>
              <w:t xml:space="preserve">трольно-измерительных приборов и систем автоматики.</w:t>
            </w:r>
            <w:r>
              <w:rPr>
                <w:color w:val="22272f"/>
              </w:rPr>
            </w:r>
          </w:p>
          <w:p>
            <w:pPr>
              <w:pStyle w:val="792"/>
              <w:jc w:val="both"/>
              <w:spacing w:before="0" w:beforeAutospacing="0" w:after="0" w:afterAutospacing="0"/>
              <w:shd w:val="clear" w:color="auto" w:fill="ffffff"/>
              <w:rPr>
                <w:color w:val="22272f"/>
              </w:rPr>
            </w:pPr>
            <w:r>
              <w:rPr>
                <w:color w:val="22272f"/>
              </w:rPr>
              <w:t xml:space="preserve">ПК 3.6. Осуществлять программирование и параметризацию ко</w:t>
            </w:r>
            <w:r>
              <w:rPr>
                <w:color w:val="22272f"/>
              </w:rPr>
              <w:t xml:space="preserve">н</w:t>
            </w:r>
            <w:r>
              <w:rPr>
                <w:color w:val="22272f"/>
              </w:rPr>
              <w:t xml:space="preserve">трольно-измерительных приборов.</w:t>
            </w:r>
            <w:r>
              <w:rPr>
                <w:color w:val="22272f"/>
              </w:rPr>
            </w:r>
          </w:p>
          <w:p>
            <w:pPr>
              <w:pStyle w:val="7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numPr>
          <w:ilvl w:val="0"/>
          <w:numId w:val="30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Форма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2.1. В соответствии с ФГОС СПО по профессии </w:t>
      </w:r>
      <w:r>
        <w:rPr>
          <w:rFonts w:ascii="Times New Roman" w:hAnsi="Times New Roman" w:cs="Times New Roman"/>
          <w:bCs/>
        </w:rPr>
        <w:t xml:space="preserve">15.01.37 Слесарь-наладчик контрольно-измерительных приборов и автоматике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государственная итоговая аттестация проводится в фо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ме демонстрационного экзамена.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Демонстрационный экзамен направлен на определение уровня освоения выпускником м</w:t>
      </w:r>
      <w:r>
        <w:rPr>
          <w:rFonts w:ascii="Times New Roman" w:hAnsi="Times New Roman" w:cs="Times New Roman"/>
          <w:bCs/>
          <w:iCs/>
        </w:rPr>
        <w:t xml:space="preserve">а</w:t>
      </w:r>
      <w:r>
        <w:rPr>
          <w:rFonts w:ascii="Times New Roman" w:hAnsi="Times New Roman" w:cs="Times New Roman"/>
          <w:bCs/>
          <w:iCs/>
        </w:rPr>
        <w:t xml:space="preserve">териала, предусмотренного образовательной программой и степени сформированности профе</w:t>
      </w:r>
      <w:r>
        <w:rPr>
          <w:rFonts w:ascii="Times New Roman" w:hAnsi="Times New Roman" w:cs="Times New Roman"/>
          <w:bCs/>
          <w:iCs/>
        </w:rPr>
        <w:t xml:space="preserve">с</w:t>
      </w:r>
      <w:r>
        <w:rPr>
          <w:rFonts w:ascii="Times New Roman" w:hAnsi="Times New Roman" w:cs="Times New Roman"/>
          <w:bCs/>
          <w:iCs/>
        </w:rPr>
        <w:t xml:space="preserve">сиональных умений и навыков путем проведения независимой экспертной оценки выполне</w:t>
      </w:r>
      <w:r>
        <w:rPr>
          <w:rFonts w:ascii="Times New Roman" w:hAnsi="Times New Roman" w:cs="Times New Roman"/>
          <w:bCs/>
          <w:iCs/>
        </w:rPr>
        <w:t xml:space="preserve">н</w:t>
      </w:r>
      <w:r>
        <w:rPr>
          <w:rFonts w:ascii="Times New Roman" w:hAnsi="Times New Roman" w:cs="Times New Roman"/>
          <w:bCs/>
          <w:iCs/>
        </w:rPr>
        <w:t xml:space="preserve">ных выпускником практических заданий в условиях реальных и смоделированных производс</w:t>
      </w:r>
      <w:r>
        <w:rPr>
          <w:rFonts w:ascii="Times New Roman" w:hAnsi="Times New Roman" w:cs="Times New Roman"/>
          <w:bCs/>
          <w:iCs/>
        </w:rPr>
        <w:t xml:space="preserve">т</w:t>
      </w:r>
      <w:r>
        <w:rPr>
          <w:rFonts w:ascii="Times New Roman" w:hAnsi="Times New Roman" w:cs="Times New Roman"/>
          <w:bCs/>
          <w:iCs/>
        </w:rPr>
        <w:t xml:space="preserve">венных процессов. </w:t>
      </w:r>
      <w:r>
        <w:rPr>
          <w:rFonts w:ascii="Times New Roman" w:hAnsi="Times New Roman" w:cs="Times New Roman"/>
          <w:bCs/>
          <w:iCs/>
        </w:rPr>
      </w:r>
    </w:p>
    <w:p>
      <w:pPr>
        <w:pStyle w:val="776"/>
        <w:ind w:firstLine="567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Демонстрационный экзамен проводится по материалам КИМ, представляющим комплекс требований для проведения демонстрационного экзамена, перечень оборудования и оснащения, расходных материалов, сре</w:t>
      </w:r>
      <w:r>
        <w:rPr>
          <w:rFonts w:ascii="Times New Roman" w:hAnsi="Times New Roman" w:cs="Times New Roman"/>
          <w:bCs/>
          <w:iCs/>
        </w:rPr>
        <w:t xml:space="preserve">дств обучения и воспитания, примерный план застройки площадки демонстрационного экзамена, требования к составу экспертных групп, условия привлечения добровольцев (волонтеров) (при необходимости), инструкции по технике безопасности, а также образцы заданий.</w:t>
      </w:r>
      <w:r>
        <w:rPr>
          <w:rFonts w:ascii="Times New Roman" w:hAnsi="Times New Roman" w:cs="Times New Roman"/>
          <w:bCs/>
          <w:iCs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демонстрационного экзамена включает комплексную практическую задачу, м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делирующую профессиональную деятельность и выполняемую в режиме реального времени.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2.2</w:t>
      </w:r>
      <w:r>
        <w:rPr>
          <w:rFonts w:ascii="Times New Roman" w:hAnsi="Times New Roman" w:cs="Times New Roman"/>
        </w:rPr>
        <w:t xml:space="preserve"> Место проведения государственной итоговой аттестации: </w:t>
      </w:r>
      <w:r>
        <w:rPr>
          <w:rFonts w:ascii="Times New Roman" w:hAnsi="Times New Roman" w:cs="Times New Roman"/>
        </w:rPr>
        <w:t xml:space="preserve">Центр проведения демонс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рационного экзамена </w:t>
      </w:r>
      <w:r>
        <w:rPr>
          <w:rFonts w:ascii="Times New Roman" w:hAnsi="Times New Roman" w:cs="Times New Roman"/>
        </w:rPr>
        <w:t xml:space="preserve"> – ГАПОУ «ОГК».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 ФГОС СПО по профессии </w:t>
      </w:r>
      <w:r>
        <w:rPr>
          <w:rFonts w:ascii="Times New Roman" w:hAnsi="Times New Roman" w:cs="Times New Roman"/>
          <w:bCs/>
        </w:rPr>
        <w:t xml:space="preserve">15.01.37 Слесарь-наладчик контрольно-измерительных пр</w:t>
      </w:r>
      <w:r>
        <w:rPr>
          <w:rFonts w:ascii="Times New Roman" w:hAnsi="Times New Roman" w:cs="Times New Roman"/>
          <w:bCs/>
        </w:rPr>
        <w:t xml:space="preserve">и</w:t>
      </w:r>
      <w:r>
        <w:rPr>
          <w:rFonts w:ascii="Times New Roman" w:hAnsi="Times New Roman" w:cs="Times New Roman"/>
          <w:bCs/>
        </w:rPr>
        <w:t xml:space="preserve">боров и автоматике</w:t>
      </w:r>
      <w:r>
        <w:rPr>
          <w:rFonts w:ascii="Times New Roman" w:hAnsi="Times New Roman" w:cs="Times New Roman"/>
          <w:iCs/>
        </w:rPr>
        <w:t xml:space="preserve">,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рабочим учебным планом и календарным учебным графиком отведено на подготовку и проведение государственной итоговой аттестации 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 недел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с «22</w:t>
      </w:r>
      <w:r>
        <w:rPr>
          <w:rFonts w:ascii="Times New Roman" w:hAnsi="Times New Roman" w:cs="Times New Roman"/>
        </w:rPr>
        <w:t xml:space="preserve">» июня по «28» июня 2027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Подготовка проведения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 </w:t>
      </w:r>
      <w:r>
        <w:rPr>
          <w:rFonts w:ascii="Times New Roman" w:hAnsi="Times New Roman" w:cs="Times New Roman"/>
        </w:rPr>
        <w:t xml:space="preserve">Для проведения государственной итоговой аттестации в форме демонстрационного экзамена</w:t>
      </w:r>
      <w:r>
        <w:rPr>
          <w:rFonts w:ascii="Times New Roman" w:hAnsi="Times New Roman" w:cs="Times New Roman"/>
        </w:rPr>
        <w:t xml:space="preserve"> по профессии 15.01.37 Слесарь-наладчик контрольно-измерительных приборов и а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томатики</w:t>
      </w:r>
      <w:r>
        <w:rPr>
          <w:rFonts w:ascii="Times New Roman" w:hAnsi="Times New Roman" w:cs="Times New Roman"/>
        </w:rPr>
        <w:t xml:space="preserve"> Министерством образования Оренбургской области создается единая ГЭК.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ГЭК формируется из педагогических работников и иных работников образовательных организаций, лиц, приглашенных из сторонних организаций в том числе: педагогических р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ботников,  представителей работодателей, направление деятельности которых соответствует области профессиональной деятельности, к которой готовятся выпускники. Состав ГЭК утве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ждается Министерством образования Оренбургской области  не позднее 15 ноября года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2026 года. 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 Экспертную группу возглавляет администратор центра проведения экзамена, кот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рый  не входит в состав экспертной группы.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3.3Администратор центра проведения экзамена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 К государственной итоговой аттестации допускаются выпускники, не имеющие ак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демической задолженности и в полном объеме выполнившие учебный план или индивидуал</w:t>
      </w:r>
      <w:r>
        <w:rPr>
          <w:rFonts w:ascii="Times New Roman" w:hAnsi="Times New Roman" w:cs="Times New Roman"/>
        </w:rPr>
        <w:t xml:space="preserve">ь</w:t>
      </w:r>
      <w:r>
        <w:rPr>
          <w:rFonts w:ascii="Times New Roman" w:hAnsi="Times New Roman" w:cs="Times New Roman"/>
        </w:rPr>
        <w:t xml:space="preserve">ный учебный план.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 ГЭК возглавляет председатель, являющийся руководителем или заместителем рук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водителя м</w:t>
      </w:r>
      <w:r>
        <w:rPr>
          <w:rFonts w:ascii="Times New Roman" w:hAnsi="Times New Roman" w:cs="Times New Roman"/>
          <w:iCs/>
        </w:rPr>
        <w:t xml:space="preserve">инистерства образования Оренбургской области.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3.6</w:t>
      </w:r>
      <w:r>
        <w:rPr>
          <w:rFonts w:ascii="Times New Roman" w:hAnsi="Times New Roman" w:cs="Times New Roman"/>
        </w:rPr>
        <w:t xml:space="preserve"> Программа государственной итоговой аттестации разрабатывается не менее чем за шесть месяцев до государственной итоговой аттестации, рассматривается на педагогическом совете, утверждается директором колледжа, и доводится до сведения обучающихся.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Проведение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Демонстрационный экзамен проводится с использованием КИМ.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 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рывы в проведении демонстрационного экзамена определяются планом проведения демонстр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ционного экзамена, утверждаемым ГЭК не позднее чем за двадцать календарных дней до даты проведения демонстрационного экзамена. 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отделением знакомит с планом проведения демонстрационного экзамена выпускников, сдающих демонстрационный экзамен и лиц, обеспечивающих проведение демо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страционного экзамена в срок не позднее чем за пять рабочих дней до даты проведения экзам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на.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 Не позднее чем за один рабочий день до даты проведения демонстрационного экз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мена администратором центра проведения экзамена проводится проверка готовности ЦПДЭ в присутствии членов экспертной группы, выпускников, а также технического эксперта, назн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чаемого организацией, на территории которой расположен центр проведения экзамена, ответс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венного за соблюдение установленных норм и правил охраны труда и техники безопасности.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Администратором центра проведения экзамена осуществляется осмотр центра провед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ния экзамена, распределение обязанностей между членами экспертной группы по оценке в</w:t>
      </w:r>
      <w:r>
        <w:rPr>
          <w:rFonts w:ascii="Times New Roman" w:hAnsi="Times New Roman" w:cs="Times New Roman"/>
        </w:rPr>
        <w:t xml:space="preserve">ы</w:t>
      </w:r>
      <w:r>
        <w:rPr>
          <w:rFonts w:ascii="Times New Roman" w:hAnsi="Times New Roman" w:cs="Times New Roman"/>
        </w:rPr>
        <w:t xml:space="preserve">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занностей между членами экспертной группы и распределения рабочих мест между выпускн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ками фиксируются администратором центра проведения экзамена в соответствующих проток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лах.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  Технический эксперт под подпись знакомит администратора центра проведения э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замена, членов экспертной группы, выпускников с требованиями охраны труда и безопасности производства.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 В день проведения демонстрационного экзамена в центре проведения экзамена пр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сутствуют: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руководитель (уполномоченный представитель) организации, на базе которой орган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зован центр проведения экзамена;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не менее одного члена ГЭК, не считая членов экспертной группы;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члены экспертной группы;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администратор центра проведения экзамена;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выпускники;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технический эксперт;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ж) организаторы, назначенные образовательной организацией из числа педагогических работников, оказывающие содействие администратору центра проведения экзамена в обеспеч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нии соблюдения всех требований к проведению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отсутствия в день проведения демонстрационного экзамена в ЦПДЭ лиц, ук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занных в настоящем пункте, решение о проведении демонстрационного экзамена принимается администратором центра проведения экзамена, о чём им вносится соответствующая запись в протокол проведения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ГЭК, не входящие в состав экспертной группы, наблюдают за ходом проведения демонстрационного экзамена и вправе сообщать администратору центра проведения экзамена о выявленных фактах нарушения Порядка.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 Члены экспертной группы осуществляют оценку выполнения заданий демонстрац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онного экзамена самостоятельно.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 Администратор центра проведения экзамена вправе давать указания по организации и проведению демонстрационного экзамена, обязательные для выполнения лицами, привлече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ными к проведению демонстрационного экзамена, и выпускникам, удалять из центра провед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ни</w:t>
      </w:r>
      <w:r>
        <w:rPr>
          <w:rFonts w:ascii="Times New Roman" w:hAnsi="Times New Roman" w:cs="Times New Roman"/>
        </w:rPr>
        <w:t xml:space="preserve">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бых нарушений требований Порядка, требований охраны труда и производственной безопасн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сти.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 Администратор центра проведения экзамена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ний Порядка.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4.9 Технический эксперт вправе наблюдать за ходом проведения демонстрационного э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замена; давать разъяснения и указания лицам, привлеченным к проведению демонстрационного </w:t>
      </w:r>
      <w:r>
        <w:rPr>
          <w:rFonts w:ascii="Times New Roman" w:hAnsi="Times New Roman" w:cs="Times New Roman"/>
        </w:rPr>
        <w:t xml:space="preserve">экзамена, выпускникам по вопросам соблюдения требований охраны труда и производственной безопасности; сообщать администратору центра проведения экзамена о выявленных случаях нарушений лицами, привлеченными к проведению демонстрационного экзамена, выпускник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ми требований охраны труда и требований производственной безопасности; останавливать в случаях, требующих немедленного решения, в целях охраны жизни и здоровья лиц, привлече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ных к проведению демонстрационного экзамена, выпускников действия выпускников по в</w:t>
      </w:r>
      <w:r>
        <w:rPr>
          <w:rFonts w:ascii="Times New Roman" w:hAnsi="Times New Roman" w:cs="Times New Roman"/>
        </w:rPr>
        <w:t xml:space="preserve">ы</w:t>
      </w:r>
      <w:r>
        <w:rPr>
          <w:rFonts w:ascii="Times New Roman" w:hAnsi="Times New Roman" w:cs="Times New Roman"/>
        </w:rPr>
        <w:t xml:space="preserve">полнению заданий, действия других лиц, находящихся в центре проведения экзамена с уведо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лением главного эксперта.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  Выпускники вправе: пользоваться оборудованием центра проведения экзамена, н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получить копию задания демонстрационного экзамена на бумажном носителе;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Выпускники обязаны: во время проведения демонстрационного экзамена не пользоват</w:t>
      </w:r>
      <w:r>
        <w:rPr>
          <w:rFonts w:ascii="Times New Roman" w:hAnsi="Times New Roman" w:cs="Times New Roman"/>
        </w:rPr>
        <w:t xml:space="preserve">ь</w:t>
      </w:r>
      <w:r>
        <w:rPr>
          <w:rFonts w:ascii="Times New Roman" w:hAnsi="Times New Roman" w:cs="Times New Roman"/>
        </w:rPr>
        <w:t xml:space="preserve">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время проведения демонстрационного экзамена использовать только средства обуч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ния и воспитания, разрешенные комплектом оценочной документации;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время проведения демонстрационного экзамена не взаимодействовать с другими в</w:t>
      </w:r>
      <w:r>
        <w:rPr>
          <w:rFonts w:ascii="Times New Roman" w:hAnsi="Times New Roman" w:cs="Times New Roman"/>
        </w:rPr>
        <w:t xml:space="preserve">ы</w:t>
      </w:r>
      <w:r>
        <w:rPr>
          <w:rFonts w:ascii="Times New Roman" w:hAnsi="Times New Roman" w:cs="Times New Roman"/>
        </w:rPr>
        <w:t xml:space="preserve">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мена.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монстрационного экзамена за пределами центра проведения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 После ознакомления с заданиями демонстрационного экзамена выпускники зан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мают свои рабочие места в соответствии с протоколом распределения рабочих мест.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 После того, как все выпускники и лица, привлеченные к проведению демонстрац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онного экзамена, займут свои рабочие места в соответствии с требованиями охраны труда и производственной безопасности, администратор центра проведения экзамена объявляет о нач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ле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4.13 Время начала демонстрационного экзамена фиксируется в протоколе проведения демонстрационного экзамена, составляемом администратором центра проведения экзамена по каждой экзаменационной группе.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объявления администратором центра проведения экзамена начала демонстрац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онного экзамена выпускники приступают к выполнению заданий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4.14 Явка выпускника, его рабочее место, время завершения выполнения задания демо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страционного экзамена подлежат фиксации администратором центра проведения экзамена в протоколе проведения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4.15 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мена, администратором центра проведения экзамена составляется акт об удалении. Результаты ГИА выпускника, удаленного из центра проведения экзамена, аннулируются ГЭК, и такой в</w:t>
      </w:r>
      <w:r>
        <w:rPr>
          <w:rFonts w:ascii="Times New Roman" w:hAnsi="Times New Roman" w:cs="Times New Roman"/>
        </w:rPr>
        <w:t xml:space="preserve">ы</w:t>
      </w:r>
      <w:r>
        <w:rPr>
          <w:rFonts w:ascii="Times New Roman" w:hAnsi="Times New Roman" w:cs="Times New Roman"/>
        </w:rPr>
        <w:t xml:space="preserve">пускник признаётся ГЭК не прошедшим ГИА по неуважительной причине.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 Администратор центра проведения экзамена сообщает выпускникам о течении вр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мени выполнения задания демонстрационного экзамена каждые 60 минут, а также за 30 и 5 м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нут до окончания времени выполнения задания.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4.15 После объявления администратором центра проведения экзамена окончания врем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ни выполнения заданий выпускники прекращают любые действия по выполнению заданий д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4.16. Выпускник по собственному желанию может завершить выполнение задания до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рочно, уведомив об этом главного эксперта.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4.17 Результаты выполнения выпускниками заданий демонстрационного экзамена по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лежат фиксации экспертами экспертной группы в соответствии с требованиями КИМ и задания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Оценивание результатов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Результаты проведения ГИА оцениваются с проставлением одной из отметок: "о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лично", "хорошо", "удовлетворительно", "неудовлетворительно" - и объявляются в тот же день после оформления протоколов заседаний ГЭК.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Процедура оценивания результатов выполнения заданий демонстрационного экз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мена осуществляется членами экспертной группы по балльной системе в соответствии с треб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ваниями КИМ.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  Баллы выставляются в протоколе проведения демонстрационного экзамена, который подписывается каждым членом экспертной группы и утверждается администратором центра проведения экзамена после завершения экзамена для экзаменационной группы.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 При выставлении баллов присутствует член ГЭК, не входящий в экспертную группу, присутствие других лиц запрещено.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 Подписанный членами экспертной группы и утвержденный администратором центра проведения экзамена протокол проведения демонстрационного экзамена далее передается в ГЭК для выставления оценок по итогам ГИА. Оригинал протокола проведения демонстрацио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ного экзамена передается на хранение в образовательную организацию в составе архивных д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кументов.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 Статус победителя, призера финала чемпионата по профессиональному мастерству "Профессионалы" и финала чемпионата высоких технологий по профилю осваиваемой образ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вательной программы среднего профессионального образования засчитывается выпускнику в качестве оценки "отлично" по демонстрационному экзамену в рамках проведения ГИА по да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ной образовательной программе среднего профессионального образования.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 В случае досрочного завершения ГИА выпускником по независящим от него прич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нам результаты ГИА оцениваются по фактически выполненной работе, или по заявлению так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го выпускника ГЭК принимается решение об аннулировании результатов ГИА, а такой выпус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ник признается ГЭК не прошедшим ГИА по уважительной причине.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 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ГАПОУ «ОГК»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5.10 Лицу, завершившему обучение по образовательной программе среднего професси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нального образования и успешно прошедшему государственную итоговую аттестацию, на о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новании решения Государственной экзаменационной комиссии выдается диплом о среднем профессиональном образовании и присваивается соответствующая квалификация.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Диплом с отличием выдается при следующих условиях: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все указанные в приложении к диплому оценки по учебным дисциплинам (модулям), курсам, предметам, практикам за исключением оценок «зачтено» являются оценками «отлично» и «хорошо»; 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все оценки по результатам ГИА являются оценками «отлично»;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количество указанных в приложении к диплому оценок «отлично», включая оценки по результатам ГИА, составляют не менее 75% от общего количества оценок, указанных в прил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жении к диплому за исключением оценок «зачтено».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5.11 Решение ГЭК о выдаче диплома выпускникам оформляется протоколом ГЭК и приказом директора ГАПОУ «ОГК».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 . Порядок подачи и рассмотрения апелляций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ГИА выпускник имеет право подать в апелляционную комиссию пис</w:t>
      </w:r>
      <w:r>
        <w:rPr>
          <w:rFonts w:ascii="Times New Roman" w:hAnsi="Times New Roman" w:cs="Times New Roman"/>
        </w:rPr>
        <w:t xml:space="preserve">ь</w:t>
      </w:r>
      <w:r>
        <w:rPr>
          <w:rFonts w:ascii="Times New Roman" w:hAnsi="Times New Roman" w:cs="Times New Roman"/>
        </w:rPr>
        <w:t xml:space="preserve">менную апелляцию о нарушении, по его мнению, Порядка и (или) несогласии с результатами ГИА.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 Апелляция подается лично выпускником или родителями (законными представит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лями) несовершеннолетнего выпускника в апелляционную комиссию образовательной орган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зации.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6.2Апелляция о нарушении Порядка подается непосредственно в день проведения ГИА, в том числе до выхода из центра проведения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 Апелляция о несогласии с результатами ГИА подается не позднее следующего р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бочего дня после объявления результатов ГИА.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 Апелляция рассматривается апелляционной комиссией не позднее трех рабочих дней с момента ее поступления.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 Состав апелляционной комиссии утверждается образовательной организацией о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новременно с утверждением состава ГЭК.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Апелляция рассматривается на заседании апелляционной комиссии с участием не менее двух третей ее состава.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На заседание апелляционной комиссии приглашается председатель ГЭК, а также администратор центра проведения экзамена при проведении ГИА в форме демонстрационного экзамена. При проведении ГИА в форме демонстрационного экзамена по решению председат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ля апелляционной комиссии к участию в заседании комиссии могут быть также привлечены члены экспертной группы, технический эксперт.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 По решению председателя апелляционной комиссии заседание апелляционной к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 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лей (законных представителей). Указанные лица должны при себе иметь документы, удостов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ряющие личность.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6.9 Рассмотрение апелляции не является пересдачей ГИА.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6.10 При рассмотрении апелляции о нарушении Порядка апелляционная комиссия у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танавливает достоверность изложенных в ней сведений и выносит одно из следующих реш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ний: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отклонении апелляции, если изложенные в ней сведения о нарушениях Порядка не подтвердились и (или) не повлияли на результат ГИА;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удовлетворении апелляции, если изложенные в ней сведения о допущенных нар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шениях Порядка подтвердились и повлияли на результат ГИА.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</w:t>
      </w:r>
      <w:r>
        <w:rPr>
          <w:rFonts w:ascii="Times New Roman" w:hAnsi="Times New Roman" w:cs="Times New Roman"/>
        </w:rPr>
        <w:t xml:space="preserve">ж</w:t>
      </w:r>
      <w:r>
        <w:rPr>
          <w:rFonts w:ascii="Times New Roman" w:hAnsi="Times New Roman" w:cs="Times New Roman"/>
        </w:rPr>
        <w:t xml:space="preserve">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цев после подачи апелляции.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 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го дня с момента поступления апелляции направляет в апелляционную комиссию протокол з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седания ГЭК, протокол проведения демонстрационного экзамена, письменные ответы выпус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6.12 В результате рассмотрения апелляции о несогласии с результатами ГИА апелляц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онной комиссии не позднее следующего рабочего дня передается в ГЭК. Решение апелляцио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сии.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6.13.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сии является решающим.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апелляционной комиссии доводится до сведения подавшего апелляцию вып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скника в течение трех рабочих дней со дня заседания апелляционной комиссии.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6.14 Решение апелляционной комиссии является окончательным и пересмотру не по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лежит.</w:t>
      </w:r>
      <w:r>
        <w:rPr>
          <w:rFonts w:ascii="Times New Roman" w:hAnsi="Times New Roman" w:cs="Times New Roman"/>
        </w:rPr>
      </w:r>
    </w:p>
    <w:p>
      <w:pPr>
        <w:pStyle w:val="776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6.15 Решение апелляционной комиссии оформляется протоколом, который подписыв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ется председателем (заместителем председателя) и секретарем апелляционной комиссии и хр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нится в архиве ГАПОУ «ОГК».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Особенности проведения ГИА для выпускников из числа лиц с ограниченными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возможностями здоровья, детей-инвалидов и инвалидов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Для выпускников из числа лиц с ограниченными возможностями здоровья и выпус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ников из числа детей-инвалидов и инвалидов проводится ГИА с учетом особенностей психоф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зического развития, индивидуальных возможностей и состояния здоровья таких выпускников (далее - индивидуальные особенности).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При проведении ГИА обеспечивается соблюдение следующих общих требований: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</w:t>
      </w:r>
      <w:r>
        <w:rPr>
          <w:rFonts w:ascii="Times New Roman" w:hAnsi="Times New Roman" w:cs="Times New Roman"/>
        </w:rPr>
        <w:t xml:space="preserve">ю</w:t>
      </w:r>
      <w:r>
        <w:rPr>
          <w:rFonts w:ascii="Times New Roman" w:hAnsi="Times New Roman" w:cs="Times New Roman"/>
        </w:rPr>
        <w:t xml:space="preserve">щими ограниченных возможностей здоровья, если это не создает трудностей для выпускников при прохождении ГИА;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присутствие в аудитории, центре</w:t>
      </w:r>
      <w:r>
        <w:rPr>
          <w:rFonts w:ascii="Times New Roman" w:hAnsi="Times New Roman" w:cs="Times New Roman"/>
        </w:rPr>
        <w:t xml:space="preserve">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пользование необходимыми выпускникам техническими средствами при прохождении ГИА с учетом их индивидуальных особенностей;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обеспечение возможности беспрепятственного доступа выпускников в аудитории, туале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 Дополнительно при проведении ГИА обеспечивается соблюдение следующих треб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ваний в зависимости от категорий выпускников с ограниченными возможностями здоровья, выпускников из числа детей-инвалидов и инвалидов: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для слепых: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ГИА, комплект оценочной док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пьютер со специализированным программным обеспечением для слепых;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для слабовидящих: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индивидуальное равномерное освещение не менее 300 люкс;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увеличива</w:t>
      </w:r>
      <w:r>
        <w:rPr>
          <w:rFonts w:ascii="Times New Roman" w:hAnsi="Times New Roman" w:cs="Times New Roman"/>
        </w:rPr>
        <w:t xml:space="preserve">ю</w:t>
      </w:r>
      <w:r>
        <w:rPr>
          <w:rFonts w:ascii="Times New Roman" w:hAnsi="Times New Roman" w:cs="Times New Roman"/>
        </w:rPr>
        <w:t xml:space="preserve">щее устройство;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проведения государственной атт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стации оформляются увеличенным шрифтом;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для глухих и слабослышащих, с тяжелыми нарушениями речи: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их желанию государственный экзамен может проводиться в письменной форме;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для лиц с нарушениями опорно-двигательного аппарата (с тяжелыми нарушениями дв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гательных функций верхних конечностей или отсутствием верхних конечностей):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письменные задания выполняются на компьютере со специализированным программным обеспечением или надиктовываются ассистенту;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их желанию государственный экзамен может проводиться в устной форме;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д) также для выпускников из числа лиц с ограниченными возможностями здоровья и в</w:t>
      </w:r>
      <w:r>
        <w:rPr>
          <w:rFonts w:ascii="Times New Roman" w:hAnsi="Times New Roman" w:cs="Times New Roman"/>
        </w:rPr>
        <w:t xml:space="preserve">ы</w:t>
      </w:r>
      <w:r>
        <w:rPr>
          <w:rFonts w:ascii="Times New Roman" w:hAnsi="Times New Roman" w:cs="Times New Roman"/>
        </w:rPr>
        <w:t xml:space="preserve">пускников из числа детей-инвалидов и инвалидов создаются иные специальные условия пров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дения ГИА в соответствии с рекомендациями психолого-медико-педагогической комиссии, справкой, подтверждающей факт установления инвалидности, выданной федеральным госуда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ственным учреждением медико-социальной экспертизы.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Выпускники или родители (законные представители) несовершеннолетних выпускн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ков не позднее чем за 3 месяца до начала ГИА подают в образовательную организацию пис</w:t>
      </w:r>
      <w:r>
        <w:rPr>
          <w:rFonts w:ascii="Times New Roman" w:hAnsi="Times New Roman" w:cs="Times New Roman"/>
        </w:rPr>
        <w:t xml:space="preserve">ь</w:t>
      </w:r>
      <w:r>
        <w:rPr>
          <w:rFonts w:ascii="Times New Roman" w:hAnsi="Times New Roman" w:cs="Times New Roman"/>
        </w:rPr>
        <w:t xml:space="preserve">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</w:t>
      </w:r>
      <w:r>
        <w:rPr>
          <w:rFonts w:ascii="Times New Roman" w:hAnsi="Times New Roman" w:cs="Times New Roman"/>
          <w:b/>
        </w:rPr>
        <w:t xml:space="preserve">. Порядок повторного прохождения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Лицам, не проходившим ГИА по уважительной причине, предоставляется возможность пройти ее без отчисления из ГАПОУ «ОГК» в установленные дополнительны</w:t>
      </w:r>
      <w:r>
        <w:rPr>
          <w:rFonts w:ascii="Times New Roman" w:hAnsi="Times New Roman" w:cs="Times New Roman"/>
        </w:rPr>
        <w:t xml:space="preserve">е сроки: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-для л</w:t>
      </w:r>
      <w:r>
        <w:rPr>
          <w:rFonts w:ascii="Times New Roman" w:hAnsi="Times New Roman" w:cs="Times New Roman"/>
        </w:rPr>
        <w:t xml:space="preserve">иц, не прошедших государственную итоговую</w:t>
      </w:r>
      <w:r>
        <w:rPr>
          <w:rFonts w:ascii="Times New Roman" w:hAnsi="Times New Roman" w:cs="Times New Roman"/>
        </w:rPr>
        <w:t xml:space="preserve"> аттестаци</w:t>
      </w:r>
      <w:r>
        <w:rPr>
          <w:rFonts w:ascii="Times New Roman" w:hAnsi="Times New Roman" w:cs="Times New Roman"/>
        </w:rPr>
        <w:t xml:space="preserve">ю</w:t>
      </w:r>
      <w:r>
        <w:rPr>
          <w:rFonts w:ascii="Times New Roman" w:hAnsi="Times New Roman" w:cs="Times New Roman"/>
        </w:rPr>
        <w:t xml:space="preserve"> по уважительной прич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«24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сентября</w:t>
      </w:r>
      <w:r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02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г.;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-для лиц, не прошедших государственной итоговой аттестации по неуважительной прич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не или показавших неудов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етвори</w:t>
      </w:r>
      <w:r>
        <w:rPr>
          <w:rFonts w:ascii="Times New Roman" w:hAnsi="Times New Roman" w:cs="Times New Roman"/>
        </w:rPr>
        <w:t xml:space="preserve">тельные результаты — с «22</w:t>
      </w:r>
      <w:r>
        <w:rPr>
          <w:rFonts w:ascii="Times New Roman" w:hAnsi="Times New Roman" w:cs="Times New Roman"/>
        </w:rPr>
        <w:t xml:space="preserve">» июня по «28» июня 20</w:t>
      </w:r>
      <w:r>
        <w:rPr>
          <w:rFonts w:ascii="Times New Roman" w:hAnsi="Times New Roman" w:cs="Times New Roman"/>
        </w:rPr>
        <w:t xml:space="preserve">2</w:t>
      </w: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г.;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Для</w:t>
      </w:r>
      <w:r>
        <w:rPr>
          <w:rFonts w:ascii="Times New Roman" w:hAnsi="Times New Roman" w:cs="Times New Roman"/>
        </w:rPr>
        <w:t xml:space="preserve"> лиц, подавших апелляцию о нарушении порядка проведения ГИА и получивших п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ложительное решение апелляционной комиссии — в дополнительные сроки установленные ГАПОУ «ОГК».</w:t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9" w:h="16834" w:orient="portrait"/>
      <w:pgMar w:top="1134" w:right="850" w:bottom="1134" w:left="1134" w:header="0" w:footer="3" w:gutter="0"/>
      <w:pgNumType w:start="8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ahoma">
    <w:panose1 w:val="020B0604030504040204"/>
  </w:font>
  <w:font w:name="Calibri">
    <w:panose1 w:val="020F0502020204030204"/>
  </w:font>
  <w:font w:name="MS Gothic">
    <w:panose1 w:val="020B0609070205080204"/>
  </w:font>
  <w:font w:name="Verdana">
    <w:panose1 w:val="020B0604030504040204"/>
  </w:font>
  <w:font w:name="Franklin Gothic Heavy">
    <w:panose1 w:val="020B0903020102020204"/>
  </w:font>
  <w:font w:name="Times New Roman">
    <w:panose1 w:val="02020603050405020304"/>
  </w:font>
  <w:font w:name="Arial">
    <w:panose1 w:val="020B0604020202020204"/>
  </w:font>
  <w:font w:name="Courier New">
    <w:panose1 w:val="020703090202050204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/>
    </w:lvl>
    <w:lvl w:ilvl="1">
      <w:start w:val="1"/>
      <w:numFmt w:val="bullet"/>
      <w:isLgl w:val="false"/>
      <w:suff w:val="tab"/>
      <w:lvlText w:val="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Times New Roman"/>
        <w:b/>
        <w:i w:val="0"/>
        <w:smallCaps w:val="0"/>
        <w:strike w:val="0"/>
        <w:color w:val="000000"/>
        <w:spacing w:val="0"/>
        <w:position w:val="0"/>
        <w:sz w:val="12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7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8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4.3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4.3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8">
    <w:multiLevelType w:val="hybridMultilevel"/>
    <w:lvl w:ilvl="0">
      <w:start w:val="12"/>
      <w:numFmt w:val="decimal"/>
      <w:isLgl w:val="false"/>
      <w:suff w:val="tab"/>
      <w:lvlText w:val="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9">
    <w:multiLevelType w:val="hybridMultilevel"/>
    <w:lvl w:ilvl="0">
      <w:start w:val="4"/>
      <w:numFmt w:val="decimal"/>
      <w:isLgl w:val="false"/>
      <w:suff w:val="tab"/>
      <w:lvlText w:val="1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Times New Roman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2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4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Times New Roman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6"/>
        <w:szCs w:val="16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42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42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—"/>
      <w:lvlJc w:val="left"/>
      <w:pPr/>
      <w:rPr>
        <w:rFonts w:ascii="Arial" w:hAnsi="Arial" w:eastAsia="Times New Roman"/>
        <w:b w:val="0"/>
        <w:i w:val="0"/>
        <w:smallCaps w:val="0"/>
        <w:strike w:val="0"/>
        <w:color w:val="000000"/>
        <w:spacing w:val="-10"/>
        <w:position w:val="0"/>
        <w:sz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4.4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0">
    <w:multiLevelType w:val="hybridMultilevel"/>
    <w:lvl w:ilvl="0">
      <w:start w:val="3"/>
      <w:numFmt w:val="decimal"/>
      <w:isLgl w:val="false"/>
      <w:suff w:val="tab"/>
      <w:lvlText w:val="4.1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4.5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4.4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4"/>
      <w:numFmt w:val="decimal"/>
      <w:isLgl w:val="false"/>
      <w:suff w:val="tab"/>
      <w:lvlText w:val="5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18"/>
  </w:num>
  <w:num w:numId="4">
    <w:abstractNumId w:val="13"/>
  </w:num>
  <w:num w:numId="5">
    <w:abstractNumId w:val="9"/>
  </w:num>
  <w:num w:numId="6">
    <w:abstractNumId w:val="11"/>
  </w:num>
  <w:num w:numId="7">
    <w:abstractNumId w:val="20"/>
  </w:num>
  <w:num w:numId="8">
    <w:abstractNumId w:val="17"/>
  </w:num>
  <w:num w:numId="9">
    <w:abstractNumId w:val="14"/>
  </w:num>
  <w:num w:numId="10">
    <w:abstractNumId w:val="12"/>
  </w:num>
  <w:num w:numId="11">
    <w:abstractNumId w:val="5"/>
  </w:num>
  <w:num w:numId="12">
    <w:abstractNumId w:val="7"/>
  </w:num>
  <w:num w:numId="13">
    <w:abstractNumId w:val="19"/>
  </w:num>
  <w:num w:numId="14">
    <w:abstractNumId w:val="24"/>
  </w:num>
  <w:num w:numId="15">
    <w:abstractNumId w:val="22"/>
  </w:num>
  <w:num w:numId="16">
    <w:abstractNumId w:val="2"/>
  </w:num>
  <w:num w:numId="17">
    <w:abstractNumId w:val="28"/>
  </w:num>
  <w:num w:numId="18">
    <w:abstractNumId w:val="3"/>
  </w:num>
  <w:num w:numId="19">
    <w:abstractNumId w:val="4"/>
  </w:num>
  <w:num w:numId="20">
    <w:abstractNumId w:val="25"/>
  </w:num>
  <w:num w:numId="21">
    <w:abstractNumId w:val="21"/>
  </w:num>
  <w:num w:numId="22">
    <w:abstractNumId w:val="0"/>
  </w:num>
  <w:num w:numId="23">
    <w:abstractNumId w:val="1"/>
  </w:num>
  <w:num w:numId="24">
    <w:abstractNumId w:val="6"/>
  </w:num>
  <w:num w:numId="25">
    <w:abstractNumId w:val="23"/>
  </w:num>
  <w:num w:numId="26">
    <w:abstractNumId w:val="15"/>
  </w:num>
  <w:num w:numId="27">
    <w:abstractNumId w:val="16"/>
  </w:num>
  <w:num w:numId="28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5"/>
    <w:link w:val="71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3"/>
    <w:next w:val="71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1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3"/>
    <w:next w:val="71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1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3"/>
    <w:next w:val="71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1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3"/>
    <w:next w:val="71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1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3"/>
    <w:next w:val="71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3"/>
    <w:next w:val="71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3"/>
    <w:next w:val="71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3"/>
    <w:next w:val="71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13"/>
    <w:next w:val="71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15"/>
    <w:link w:val="34"/>
    <w:uiPriority w:val="10"/>
    <w:rPr>
      <w:sz w:val="48"/>
      <w:szCs w:val="48"/>
    </w:rPr>
  </w:style>
  <w:style w:type="paragraph" w:styleId="36">
    <w:name w:val="Subtitle"/>
    <w:basedOn w:val="713"/>
    <w:next w:val="71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15"/>
    <w:link w:val="36"/>
    <w:uiPriority w:val="11"/>
    <w:rPr>
      <w:sz w:val="24"/>
      <w:szCs w:val="24"/>
    </w:rPr>
  </w:style>
  <w:style w:type="paragraph" w:styleId="38">
    <w:name w:val="Quote"/>
    <w:basedOn w:val="713"/>
    <w:next w:val="71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3"/>
    <w:next w:val="71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15"/>
    <w:link w:val="777"/>
    <w:uiPriority w:val="99"/>
  </w:style>
  <w:style w:type="character" w:styleId="45">
    <w:name w:val="Footer Char"/>
    <w:basedOn w:val="715"/>
    <w:link w:val="779"/>
    <w:uiPriority w:val="99"/>
  </w:style>
  <w:style w:type="paragraph" w:styleId="46">
    <w:name w:val="Caption"/>
    <w:basedOn w:val="713"/>
    <w:next w:val="71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15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1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15"/>
    <w:uiPriority w:val="99"/>
    <w:unhideWhenUsed/>
    <w:rPr>
      <w:vertAlign w:val="superscript"/>
    </w:rPr>
  </w:style>
  <w:style w:type="paragraph" w:styleId="178">
    <w:name w:val="endnote text"/>
    <w:basedOn w:val="71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5"/>
    <w:uiPriority w:val="99"/>
    <w:semiHidden/>
    <w:unhideWhenUsed/>
    <w:rPr>
      <w:vertAlign w:val="superscript"/>
    </w:rPr>
  </w:style>
  <w:style w:type="paragraph" w:styleId="181">
    <w:name w:val="toc 1"/>
    <w:basedOn w:val="713"/>
    <w:next w:val="71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3"/>
    <w:next w:val="71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3"/>
    <w:next w:val="71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3"/>
    <w:next w:val="71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3"/>
    <w:next w:val="71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3"/>
    <w:next w:val="71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3"/>
    <w:next w:val="71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3"/>
    <w:next w:val="71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3"/>
    <w:next w:val="71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3"/>
    <w:next w:val="713"/>
    <w:uiPriority w:val="99"/>
    <w:unhideWhenUsed/>
    <w:pPr>
      <w:spacing w:after="0" w:afterAutospacing="0"/>
    </w:pPr>
  </w:style>
  <w:style w:type="paragraph" w:styleId="713" w:default="1">
    <w:name w:val="Normal"/>
    <w:qFormat/>
    <w:pPr>
      <w:widowControl w:val="off"/>
    </w:pPr>
    <w:rPr>
      <w:color w:val="000000"/>
      <w:sz w:val="24"/>
      <w:szCs w:val="24"/>
    </w:rPr>
  </w:style>
  <w:style w:type="paragraph" w:styleId="714">
    <w:name w:val="Heading 1"/>
    <w:basedOn w:val="713"/>
    <w:next w:val="713"/>
    <w:link w:val="718"/>
    <w:uiPriority w:val="99"/>
    <w:qFormat/>
    <w:pPr>
      <w:jc w:val="center"/>
      <w:keepNext/>
      <w:widowControl/>
      <w:outlineLvl w:val="0"/>
    </w:pPr>
    <w:rPr>
      <w:rFonts w:ascii="Times New Roman" w:hAnsi="Times New Roman" w:eastAsia="Times New Roman" w:cs="Times New Roman"/>
      <w:color w:val="auto"/>
      <w:szCs w:val="20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Заголовок 1 Знак"/>
    <w:basedOn w:val="715"/>
    <w:link w:val="714"/>
    <w:uiPriority w:val="99"/>
    <w:rPr>
      <w:rFonts w:ascii="Times New Roman" w:hAnsi="Times New Roman" w:cs="Times New Roman"/>
      <w:sz w:val="20"/>
      <w:szCs w:val="20"/>
    </w:rPr>
  </w:style>
  <w:style w:type="character" w:styleId="719">
    <w:name w:val="Hyperlink"/>
    <w:basedOn w:val="715"/>
    <w:uiPriority w:val="99"/>
    <w:rPr>
      <w:rFonts w:cs="Times New Roman"/>
      <w:color w:val="0066cc"/>
      <w:u w:val="single"/>
    </w:rPr>
  </w:style>
  <w:style w:type="character" w:styleId="720" w:customStyle="1">
    <w:name w:val="Основной текст_"/>
    <w:basedOn w:val="715"/>
    <w:link w:val="760"/>
    <w:uiPriority w:val="99"/>
    <w:rPr>
      <w:rFonts w:ascii="Arial" w:hAnsi="Arial" w:eastAsia="Times New Roman" w:cs="Arial"/>
      <w:spacing w:val="-10"/>
      <w:sz w:val="17"/>
      <w:szCs w:val="17"/>
      <w:u w:val="none"/>
    </w:rPr>
  </w:style>
  <w:style w:type="character" w:styleId="721" w:customStyle="1">
    <w:name w:val="Колонтитул_"/>
    <w:basedOn w:val="715"/>
    <w:link w:val="761"/>
    <w:uiPriority w:val="99"/>
    <w:rPr>
      <w:rFonts w:ascii="Franklin Gothic Heavy" w:hAnsi="Franklin Gothic Heavy" w:eastAsia="Times New Roman" w:cs="Franklin Gothic Heavy"/>
      <w:b/>
      <w:bCs/>
      <w:sz w:val="17"/>
      <w:szCs w:val="17"/>
      <w:u w:val="none"/>
    </w:rPr>
  </w:style>
  <w:style w:type="character" w:styleId="722" w:customStyle="1">
    <w:name w:val="Колонтитул"/>
    <w:basedOn w:val="721"/>
    <w:uiPriority w:val="99"/>
    <w:rPr>
      <w:color w:val="000000"/>
      <w:spacing w:val="0"/>
      <w:position w:val="0"/>
      <w:lang w:val="ru-RU"/>
    </w:rPr>
  </w:style>
  <w:style w:type="character" w:styleId="723" w:customStyle="1">
    <w:name w:val="Основной текст (2)_"/>
    <w:basedOn w:val="715"/>
    <w:link w:val="762"/>
    <w:uiPriority w:val="99"/>
    <w:rPr>
      <w:rFonts w:ascii="Arial" w:hAnsi="Arial" w:eastAsia="Times New Roman" w:cs="Arial"/>
      <w:b/>
      <w:bCs/>
      <w:spacing w:val="-10"/>
      <w:sz w:val="22"/>
      <w:szCs w:val="22"/>
      <w:u w:val="none"/>
    </w:rPr>
  </w:style>
  <w:style w:type="character" w:styleId="724" w:customStyle="1">
    <w:name w:val="Основной текст (3)_"/>
    <w:basedOn w:val="715"/>
    <w:link w:val="763"/>
    <w:uiPriority w:val="99"/>
    <w:rPr>
      <w:rFonts w:ascii="Arial" w:hAnsi="Arial" w:eastAsia="Times New Roman" w:cs="Arial"/>
      <w:b/>
      <w:bCs/>
      <w:i/>
      <w:iCs/>
      <w:spacing w:val="-10"/>
      <w:sz w:val="17"/>
      <w:szCs w:val="17"/>
      <w:u w:val="none"/>
    </w:rPr>
  </w:style>
  <w:style w:type="character" w:styleId="725" w:customStyle="1">
    <w:name w:val="Основной текст (4)_"/>
    <w:basedOn w:val="715"/>
    <w:link w:val="764"/>
    <w:uiPriority w:val="99"/>
    <w:rPr>
      <w:rFonts w:ascii="Arial" w:hAnsi="Arial" w:eastAsia="Times New Roman" w:cs="Arial"/>
      <w:i/>
      <w:iCs/>
      <w:spacing w:val="-10"/>
      <w:sz w:val="17"/>
      <w:szCs w:val="17"/>
      <w:u w:val="none"/>
    </w:rPr>
  </w:style>
  <w:style w:type="character" w:styleId="726" w:customStyle="1">
    <w:name w:val="Заголовок №1_"/>
    <w:basedOn w:val="715"/>
    <w:link w:val="765"/>
    <w:uiPriority w:val="99"/>
    <w:rPr>
      <w:rFonts w:ascii="Arial" w:hAnsi="Arial" w:eastAsia="Times New Roman" w:cs="Arial"/>
      <w:b/>
      <w:bCs/>
      <w:sz w:val="20"/>
      <w:szCs w:val="20"/>
      <w:u w:val="none"/>
    </w:rPr>
  </w:style>
  <w:style w:type="character" w:styleId="727" w:customStyle="1">
    <w:name w:val="Основной текст (5)_"/>
    <w:basedOn w:val="715"/>
    <w:link w:val="766"/>
    <w:uiPriority w:val="99"/>
    <w:rPr>
      <w:rFonts w:ascii="Franklin Gothic Heavy" w:hAnsi="Franklin Gothic Heavy" w:eastAsia="Times New Roman" w:cs="Franklin Gothic Heavy"/>
      <w:i/>
      <w:iCs/>
      <w:spacing w:val="-10"/>
      <w:sz w:val="13"/>
      <w:szCs w:val="13"/>
      <w:u w:val="none"/>
    </w:rPr>
  </w:style>
  <w:style w:type="character" w:styleId="728" w:customStyle="1">
    <w:name w:val="Основной текст (5) + Arial"/>
    <w:basedOn w:val="727"/>
    <w:uiPriority w:val="99"/>
    <w:rPr>
      <w:rFonts w:ascii="Arial" w:hAnsi="Arial" w:cs="Arial"/>
      <w:b/>
      <w:bCs/>
      <w:color w:val="000000"/>
      <w:spacing w:val="0"/>
      <w:position w:val="0"/>
      <w:sz w:val="15"/>
      <w:szCs w:val="15"/>
      <w:lang w:val="ru-RU"/>
    </w:rPr>
  </w:style>
  <w:style w:type="character" w:styleId="729" w:customStyle="1">
    <w:name w:val="Основной текст (6)_"/>
    <w:basedOn w:val="715"/>
    <w:link w:val="767"/>
    <w:uiPriority w:val="99"/>
    <w:rPr>
      <w:rFonts w:ascii="Arial" w:hAnsi="Arial" w:eastAsia="Times New Roman" w:cs="Arial"/>
      <w:spacing w:val="-10"/>
      <w:sz w:val="16"/>
      <w:szCs w:val="16"/>
      <w:u w:val="none"/>
    </w:rPr>
  </w:style>
  <w:style w:type="character" w:styleId="730" w:customStyle="1">
    <w:name w:val="Основной текст (6)"/>
    <w:basedOn w:val="729"/>
    <w:uiPriority w:val="99"/>
    <w:rPr>
      <w:color w:val="000000"/>
      <w:position w:val="0"/>
      <w:u w:val="single"/>
      <w:lang w:val="ru-RU"/>
    </w:rPr>
  </w:style>
  <w:style w:type="character" w:styleId="731" w:customStyle="1">
    <w:name w:val="Основной текст + Полужирный"/>
    <w:basedOn w:val="720"/>
    <w:uiPriority w:val="99"/>
    <w:rPr>
      <w:b/>
      <w:bCs/>
      <w:i/>
      <w:iCs/>
      <w:color w:val="000000"/>
      <w:position w:val="0"/>
      <w:lang w:val="ru-RU"/>
    </w:rPr>
  </w:style>
  <w:style w:type="character" w:styleId="732" w:customStyle="1">
    <w:name w:val="Основной текст + Курсив"/>
    <w:basedOn w:val="720"/>
    <w:uiPriority w:val="99"/>
    <w:rPr>
      <w:i/>
      <w:iCs/>
      <w:color w:val="000000"/>
      <w:position w:val="0"/>
      <w:lang w:val="ru-RU"/>
    </w:rPr>
  </w:style>
  <w:style w:type="character" w:styleId="733" w:customStyle="1">
    <w:name w:val="Основной текст + 6 pt"/>
    <w:basedOn w:val="720"/>
    <w:uiPriority w:val="99"/>
    <w:rPr>
      <w:b/>
      <w:bCs/>
      <w:color w:val="000000"/>
      <w:spacing w:val="0"/>
      <w:position w:val="0"/>
      <w:sz w:val="12"/>
      <w:szCs w:val="12"/>
      <w:lang w:val="ru-RU"/>
    </w:rPr>
  </w:style>
  <w:style w:type="character" w:styleId="734" w:customStyle="1">
    <w:name w:val="Основной текст (4) + 8 pt"/>
    <w:basedOn w:val="725"/>
    <w:uiPriority w:val="99"/>
    <w:rPr>
      <w:b/>
      <w:bCs/>
      <w:color w:val="000000"/>
      <w:spacing w:val="0"/>
      <w:position w:val="0"/>
      <w:sz w:val="16"/>
      <w:szCs w:val="16"/>
    </w:rPr>
  </w:style>
  <w:style w:type="character" w:styleId="735" w:customStyle="1">
    <w:name w:val="Основной текст (4) + 6 pt"/>
    <w:basedOn w:val="725"/>
    <w:uiPriority w:val="99"/>
    <w:rPr>
      <w:b/>
      <w:bCs/>
      <w:color w:val="000000"/>
      <w:spacing w:val="0"/>
      <w:position w:val="0"/>
      <w:sz w:val="12"/>
      <w:szCs w:val="12"/>
      <w:lang w:val="ru-RU"/>
    </w:rPr>
  </w:style>
  <w:style w:type="character" w:styleId="736" w:customStyle="1">
    <w:name w:val="Основной текст (7)_"/>
    <w:basedOn w:val="715"/>
    <w:link w:val="768"/>
    <w:uiPriority w:val="99"/>
    <w:rPr>
      <w:rFonts w:ascii="Verdana" w:hAnsi="Verdana" w:eastAsia="Times New Roman" w:cs="Verdana"/>
      <w:b/>
      <w:bCs/>
      <w:sz w:val="12"/>
      <w:szCs w:val="12"/>
      <w:u w:val="none"/>
    </w:rPr>
  </w:style>
  <w:style w:type="character" w:styleId="737" w:customStyle="1">
    <w:name w:val="Основной текст1"/>
    <w:basedOn w:val="720"/>
    <w:uiPriority w:val="99"/>
    <w:rPr>
      <w:color w:val="000000"/>
      <w:position w:val="0"/>
      <w:u w:val="single"/>
      <w:lang w:val="ru-RU"/>
    </w:rPr>
  </w:style>
  <w:style w:type="character" w:styleId="738" w:customStyle="1">
    <w:name w:val="Основной текст (6) + 8"/>
    <w:basedOn w:val="729"/>
    <w:uiPriority w:val="99"/>
    <w:rPr>
      <w:i/>
      <w:iCs/>
      <w:color w:val="000000"/>
      <w:spacing w:val="0"/>
      <w:position w:val="0"/>
      <w:sz w:val="17"/>
      <w:szCs w:val="17"/>
      <w:lang w:val="ru-RU"/>
    </w:rPr>
  </w:style>
  <w:style w:type="character" w:styleId="739" w:customStyle="1">
    <w:name w:val="Колонтитул + MS Gothic"/>
    <w:basedOn w:val="721"/>
    <w:uiPriority w:val="99"/>
    <w:rPr>
      <w:rFonts w:ascii="MS Gothic" w:hAnsi="MS Gothic" w:eastAsia="MS Gothic" w:cs="MS Gothic"/>
      <w:color w:val="000000"/>
      <w:spacing w:val="0"/>
      <w:position w:val="0"/>
      <w:sz w:val="15"/>
      <w:szCs w:val="15"/>
      <w:lang w:val="ru-RU"/>
    </w:rPr>
  </w:style>
  <w:style w:type="character" w:styleId="740" w:customStyle="1">
    <w:name w:val="Колонтитул + Arial"/>
    <w:basedOn w:val="721"/>
    <w:uiPriority w:val="99"/>
    <w:rPr>
      <w:rFonts w:ascii="Arial" w:hAnsi="Arial" w:cs="Arial"/>
      <w:color w:val="000000"/>
      <w:spacing w:val="0"/>
      <w:position w:val="0"/>
      <w:sz w:val="8"/>
      <w:szCs w:val="8"/>
    </w:rPr>
  </w:style>
  <w:style w:type="character" w:styleId="741" w:customStyle="1">
    <w:name w:val="Основной текст (4) + Не курсив"/>
    <w:basedOn w:val="725"/>
    <w:uiPriority w:val="99"/>
    <w:rPr>
      <w:color w:val="000000"/>
      <w:position w:val="0"/>
      <w:lang w:val="ru-RU"/>
    </w:rPr>
  </w:style>
  <w:style w:type="character" w:styleId="742" w:customStyle="1">
    <w:name w:val="Основной текст (8)_"/>
    <w:basedOn w:val="715"/>
    <w:link w:val="769"/>
    <w:uiPriority w:val="99"/>
    <w:rPr>
      <w:rFonts w:ascii="Arial" w:hAnsi="Arial" w:eastAsia="Times New Roman" w:cs="Arial"/>
      <w:b/>
      <w:bCs/>
      <w:sz w:val="17"/>
      <w:szCs w:val="17"/>
      <w:u w:val="none"/>
    </w:rPr>
  </w:style>
  <w:style w:type="character" w:styleId="743" w:customStyle="1">
    <w:name w:val="Основной текст (3) + Не курсив"/>
    <w:basedOn w:val="724"/>
    <w:uiPriority w:val="99"/>
    <w:rPr>
      <w:color w:val="000000"/>
      <w:spacing w:val="0"/>
      <w:position w:val="0"/>
      <w:lang w:val="ru-RU"/>
    </w:rPr>
  </w:style>
  <w:style w:type="character" w:styleId="744" w:customStyle="1">
    <w:name w:val="Основной текст (9)_"/>
    <w:basedOn w:val="715"/>
    <w:link w:val="770"/>
    <w:uiPriority w:val="99"/>
    <w:rPr>
      <w:rFonts w:ascii="Arial" w:hAnsi="Arial" w:eastAsia="Times New Roman" w:cs="Arial"/>
      <w:b/>
      <w:bCs/>
      <w:i/>
      <w:iCs/>
      <w:sz w:val="15"/>
      <w:szCs w:val="15"/>
      <w:u w:val="none"/>
    </w:rPr>
  </w:style>
  <w:style w:type="character" w:styleId="745" w:customStyle="1">
    <w:name w:val="Основной текст (10)_"/>
    <w:basedOn w:val="715"/>
    <w:link w:val="771"/>
    <w:uiPriority w:val="99"/>
    <w:rPr>
      <w:rFonts w:ascii="MS Gothic" w:hAnsi="MS Gothic" w:eastAsia="MS Gothic" w:cs="MS Gothic"/>
      <w:sz w:val="11"/>
      <w:szCs w:val="11"/>
      <w:u w:val="none"/>
    </w:rPr>
  </w:style>
  <w:style w:type="character" w:styleId="746" w:customStyle="1">
    <w:name w:val="Основной текст (4) + Полужирный"/>
    <w:basedOn w:val="725"/>
    <w:uiPriority w:val="99"/>
    <w:rPr>
      <w:b/>
      <w:bCs/>
      <w:color w:val="000000"/>
      <w:position w:val="0"/>
      <w:lang w:val="ru-RU"/>
    </w:rPr>
  </w:style>
  <w:style w:type="character" w:styleId="747" w:customStyle="1">
    <w:name w:val="Основной текст (3) + Не полужирный"/>
    <w:basedOn w:val="724"/>
    <w:uiPriority w:val="99"/>
    <w:rPr>
      <w:color w:val="000000"/>
      <w:position w:val="0"/>
      <w:lang w:val="ru-RU"/>
    </w:rPr>
  </w:style>
  <w:style w:type="character" w:styleId="748" w:customStyle="1">
    <w:name w:val="Основной текст + 8 pt"/>
    <w:basedOn w:val="720"/>
    <w:uiPriority w:val="99"/>
    <w:rPr>
      <w:color w:val="000000"/>
      <w:position w:val="0"/>
      <w:sz w:val="16"/>
      <w:szCs w:val="16"/>
      <w:lang w:val="ru-RU"/>
    </w:rPr>
  </w:style>
  <w:style w:type="character" w:styleId="749" w:customStyle="1">
    <w:name w:val="Основной текст + Полужирный3"/>
    <w:basedOn w:val="720"/>
    <w:uiPriority w:val="99"/>
    <w:rPr>
      <w:b/>
      <w:bCs/>
      <w:i/>
      <w:iCs/>
      <w:color w:val="000000"/>
      <w:spacing w:val="-30"/>
      <w:position w:val="0"/>
      <w:lang w:val="ru-RU"/>
    </w:rPr>
  </w:style>
  <w:style w:type="character" w:styleId="750" w:customStyle="1">
    <w:name w:val="Основной текст (11)_"/>
    <w:basedOn w:val="715"/>
    <w:link w:val="772"/>
    <w:uiPriority w:val="99"/>
    <w:rPr>
      <w:rFonts w:ascii="Franklin Gothic Heavy" w:hAnsi="Franklin Gothic Heavy" w:eastAsia="Times New Roman" w:cs="Franklin Gothic Heavy"/>
      <w:sz w:val="15"/>
      <w:szCs w:val="15"/>
      <w:u w:val="none"/>
    </w:rPr>
  </w:style>
  <w:style w:type="character" w:styleId="751" w:customStyle="1">
    <w:name w:val="Основной текст (12)_"/>
    <w:basedOn w:val="715"/>
    <w:link w:val="773"/>
    <w:uiPriority w:val="99"/>
    <w:rPr>
      <w:rFonts w:ascii="Franklin Gothic Heavy" w:hAnsi="Franklin Gothic Heavy" w:eastAsia="Times New Roman" w:cs="Franklin Gothic Heavy"/>
      <w:sz w:val="8"/>
      <w:szCs w:val="8"/>
      <w:u w:val="none"/>
      <w:lang w:val="en-US"/>
    </w:rPr>
  </w:style>
  <w:style w:type="character" w:styleId="752" w:customStyle="1">
    <w:name w:val="Основной текст (12)"/>
    <w:basedOn w:val="751"/>
    <w:uiPriority w:val="99"/>
    <w:rPr>
      <w:strike/>
      <w:color w:val="000000"/>
      <w:spacing w:val="0"/>
      <w:position w:val="0"/>
      <w:lang w:val="ru-RU"/>
    </w:rPr>
  </w:style>
  <w:style w:type="character" w:styleId="753" w:customStyle="1">
    <w:name w:val="Колонтитул + Arial1"/>
    <w:basedOn w:val="721"/>
    <w:uiPriority w:val="99"/>
    <w:rPr>
      <w:rFonts w:ascii="Arial" w:hAnsi="Arial" w:cs="Arial"/>
      <w:i/>
      <w:iCs/>
      <w:color w:val="000000"/>
      <w:spacing w:val="0"/>
      <w:position w:val="0"/>
      <w:sz w:val="18"/>
      <w:szCs w:val="18"/>
    </w:rPr>
  </w:style>
  <w:style w:type="character" w:styleId="754" w:customStyle="1">
    <w:name w:val="Основной текст (13)_"/>
    <w:basedOn w:val="715"/>
    <w:link w:val="774"/>
    <w:uiPriority w:val="99"/>
    <w:rPr>
      <w:rFonts w:ascii="Arial" w:hAnsi="Arial" w:eastAsia="Times New Roman" w:cs="Arial"/>
      <w:b/>
      <w:bCs/>
      <w:sz w:val="15"/>
      <w:szCs w:val="15"/>
      <w:u w:val="none"/>
    </w:rPr>
  </w:style>
  <w:style w:type="character" w:styleId="755" w:customStyle="1">
    <w:name w:val="Основной текст (14)_"/>
    <w:basedOn w:val="715"/>
    <w:link w:val="775"/>
    <w:uiPriority w:val="99"/>
    <w:rPr>
      <w:rFonts w:ascii="Arial" w:hAnsi="Arial" w:eastAsia="Times New Roman" w:cs="Arial"/>
      <w:b/>
      <w:bCs/>
      <w:i/>
      <w:iCs/>
      <w:spacing w:val="-10"/>
      <w:sz w:val="17"/>
      <w:szCs w:val="17"/>
      <w:u w:val="none"/>
    </w:rPr>
  </w:style>
  <w:style w:type="character" w:styleId="756" w:customStyle="1">
    <w:name w:val="Основной текст (14) + Не полужирный"/>
    <w:basedOn w:val="755"/>
    <w:uiPriority w:val="99"/>
    <w:rPr>
      <w:color w:val="000000"/>
      <w:position w:val="0"/>
      <w:lang w:val="ru-RU"/>
    </w:rPr>
  </w:style>
  <w:style w:type="character" w:styleId="757" w:customStyle="1">
    <w:name w:val="Основной текст (14) + Не курсив"/>
    <w:basedOn w:val="755"/>
    <w:uiPriority w:val="99"/>
    <w:rPr>
      <w:color w:val="000000"/>
      <w:spacing w:val="0"/>
      <w:position w:val="0"/>
      <w:lang w:val="ru-RU"/>
    </w:rPr>
  </w:style>
  <w:style w:type="character" w:styleId="758" w:customStyle="1">
    <w:name w:val="Основной текст + Полужирный2"/>
    <w:basedOn w:val="720"/>
    <w:uiPriority w:val="99"/>
    <w:rPr>
      <w:b/>
      <w:bCs/>
      <w:i/>
      <w:iCs/>
      <w:color w:val="000000"/>
      <w:position w:val="0"/>
      <w:lang w:val="ru-RU"/>
    </w:rPr>
  </w:style>
  <w:style w:type="character" w:styleId="759" w:customStyle="1">
    <w:name w:val="Основной текст + Полужирный1"/>
    <w:basedOn w:val="720"/>
    <w:uiPriority w:val="99"/>
    <w:rPr>
      <w:b/>
      <w:bCs/>
      <w:color w:val="000000"/>
      <w:spacing w:val="0"/>
      <w:position w:val="0"/>
    </w:rPr>
  </w:style>
  <w:style w:type="paragraph" w:styleId="760" w:customStyle="1">
    <w:name w:val="Основной текст2"/>
    <w:basedOn w:val="713"/>
    <w:link w:val="720"/>
    <w:uiPriority w:val="99"/>
    <w:pPr>
      <w:ind w:hanging="320"/>
      <w:jc w:val="both"/>
      <w:spacing w:after="300" w:line="186" w:lineRule="exact"/>
      <w:shd w:val="clear" w:color="auto" w:fill="ffffff"/>
    </w:pPr>
    <w:rPr>
      <w:rFonts w:ascii="Arial" w:hAnsi="Arial" w:cs="Arial"/>
      <w:spacing w:val="-10"/>
      <w:sz w:val="17"/>
      <w:szCs w:val="17"/>
    </w:rPr>
  </w:style>
  <w:style w:type="paragraph" w:styleId="761" w:customStyle="1">
    <w:name w:val="Колонтитул1"/>
    <w:basedOn w:val="713"/>
    <w:link w:val="721"/>
    <w:uiPriority w:val="99"/>
    <w:pPr>
      <w:spacing w:line="240" w:lineRule="atLeast"/>
      <w:shd w:val="clear" w:color="auto" w:fill="ffffff"/>
    </w:pPr>
    <w:rPr>
      <w:rFonts w:ascii="Franklin Gothic Heavy" w:hAnsi="Franklin Gothic Heavy" w:cs="Franklin Gothic Heavy"/>
      <w:b/>
      <w:bCs/>
      <w:sz w:val="17"/>
      <w:szCs w:val="17"/>
    </w:rPr>
  </w:style>
  <w:style w:type="paragraph" w:styleId="762" w:customStyle="1">
    <w:name w:val="Основной текст (2)"/>
    <w:basedOn w:val="713"/>
    <w:link w:val="723"/>
    <w:uiPriority w:val="99"/>
    <w:pPr>
      <w:spacing w:before="300" w:after="60" w:line="250" w:lineRule="exact"/>
      <w:shd w:val="clear" w:color="auto" w:fill="ffffff"/>
    </w:pPr>
    <w:rPr>
      <w:rFonts w:ascii="Arial" w:hAnsi="Arial" w:cs="Arial"/>
      <w:b/>
      <w:bCs/>
      <w:spacing w:val="-10"/>
      <w:sz w:val="22"/>
      <w:szCs w:val="22"/>
    </w:rPr>
  </w:style>
  <w:style w:type="paragraph" w:styleId="763" w:customStyle="1">
    <w:name w:val="Основной текст (3)"/>
    <w:basedOn w:val="713"/>
    <w:link w:val="724"/>
    <w:uiPriority w:val="99"/>
    <w:pPr>
      <w:jc w:val="center"/>
      <w:spacing w:before="60" w:after="60" w:line="240" w:lineRule="atLeast"/>
      <w:shd w:val="clear" w:color="auto" w:fill="ffffff"/>
    </w:pPr>
    <w:rPr>
      <w:rFonts w:ascii="Arial" w:hAnsi="Arial" w:cs="Arial"/>
      <w:b/>
      <w:bCs/>
      <w:i/>
      <w:iCs/>
      <w:spacing w:val="-10"/>
      <w:sz w:val="17"/>
      <w:szCs w:val="17"/>
    </w:rPr>
  </w:style>
  <w:style w:type="paragraph" w:styleId="764" w:customStyle="1">
    <w:name w:val="Основной текст (4)"/>
    <w:basedOn w:val="713"/>
    <w:link w:val="725"/>
    <w:uiPriority w:val="99"/>
    <w:pPr>
      <w:jc w:val="right"/>
      <w:spacing w:before="60" w:after="60" w:line="240" w:lineRule="atLeast"/>
      <w:shd w:val="clear" w:color="auto" w:fill="ffffff"/>
    </w:pPr>
    <w:rPr>
      <w:rFonts w:ascii="Arial" w:hAnsi="Arial" w:cs="Arial"/>
      <w:i/>
      <w:iCs/>
      <w:spacing w:val="-10"/>
      <w:sz w:val="17"/>
      <w:szCs w:val="17"/>
    </w:rPr>
  </w:style>
  <w:style w:type="paragraph" w:styleId="765" w:customStyle="1">
    <w:name w:val="Заголовок №1"/>
    <w:basedOn w:val="713"/>
    <w:link w:val="726"/>
    <w:uiPriority w:val="99"/>
    <w:pPr>
      <w:jc w:val="center"/>
      <w:spacing w:before="60" w:after="180" w:line="234" w:lineRule="exact"/>
      <w:shd w:val="clear" w:color="auto" w:fill="ffffff"/>
      <w:outlineLvl w:val="0"/>
    </w:pPr>
    <w:rPr>
      <w:rFonts w:ascii="Arial" w:hAnsi="Arial" w:cs="Arial"/>
      <w:b/>
      <w:bCs/>
      <w:sz w:val="20"/>
      <w:szCs w:val="20"/>
    </w:rPr>
  </w:style>
  <w:style w:type="paragraph" w:styleId="766" w:customStyle="1">
    <w:name w:val="Основной текст (5)"/>
    <w:basedOn w:val="713"/>
    <w:link w:val="727"/>
    <w:uiPriority w:val="99"/>
    <w:pPr>
      <w:jc w:val="center"/>
      <w:spacing w:before="180" w:after="180" w:line="240" w:lineRule="atLeast"/>
      <w:shd w:val="clear" w:color="auto" w:fill="ffffff"/>
    </w:pPr>
    <w:rPr>
      <w:rFonts w:ascii="Franklin Gothic Heavy" w:hAnsi="Franklin Gothic Heavy" w:cs="Franklin Gothic Heavy"/>
      <w:i/>
      <w:iCs/>
      <w:spacing w:val="-10"/>
      <w:sz w:val="13"/>
      <w:szCs w:val="13"/>
    </w:rPr>
  </w:style>
  <w:style w:type="paragraph" w:styleId="767" w:customStyle="1">
    <w:name w:val="Основной текст (6)1"/>
    <w:basedOn w:val="713"/>
    <w:link w:val="729"/>
    <w:uiPriority w:val="99"/>
    <w:pPr>
      <w:jc w:val="both"/>
      <w:spacing w:before="60" w:after="180" w:line="240" w:lineRule="atLeast"/>
      <w:shd w:val="clear" w:color="auto" w:fill="ffffff"/>
    </w:pPr>
    <w:rPr>
      <w:rFonts w:ascii="Arial" w:hAnsi="Arial" w:cs="Arial"/>
      <w:spacing w:val="-10"/>
      <w:sz w:val="16"/>
      <w:szCs w:val="16"/>
    </w:rPr>
  </w:style>
  <w:style w:type="paragraph" w:styleId="768" w:customStyle="1">
    <w:name w:val="Основной текст (7)"/>
    <w:basedOn w:val="713"/>
    <w:link w:val="736"/>
    <w:uiPriority w:val="99"/>
    <w:pPr>
      <w:jc w:val="both"/>
      <w:spacing w:line="195" w:lineRule="exact"/>
      <w:shd w:val="clear" w:color="auto" w:fill="ffffff"/>
    </w:pPr>
    <w:rPr>
      <w:rFonts w:ascii="Verdana" w:hAnsi="Verdana" w:cs="Verdana"/>
      <w:b/>
      <w:bCs/>
      <w:sz w:val="12"/>
      <w:szCs w:val="12"/>
    </w:rPr>
  </w:style>
  <w:style w:type="paragraph" w:styleId="769" w:customStyle="1">
    <w:name w:val="Основной текст (8)"/>
    <w:basedOn w:val="713"/>
    <w:link w:val="742"/>
    <w:uiPriority w:val="99"/>
    <w:pPr>
      <w:spacing w:before="120" w:after="120" w:line="198" w:lineRule="exact"/>
      <w:shd w:val="clear" w:color="auto" w:fill="ffffff"/>
    </w:pPr>
    <w:rPr>
      <w:rFonts w:ascii="Arial" w:hAnsi="Arial" w:cs="Arial"/>
      <w:b/>
      <w:bCs/>
      <w:sz w:val="17"/>
      <w:szCs w:val="17"/>
    </w:rPr>
  </w:style>
  <w:style w:type="paragraph" w:styleId="770" w:customStyle="1">
    <w:name w:val="Основной текст (9)"/>
    <w:basedOn w:val="713"/>
    <w:link w:val="744"/>
    <w:uiPriority w:val="99"/>
    <w:pPr>
      <w:jc w:val="center"/>
      <w:spacing w:line="240" w:lineRule="atLeast"/>
      <w:shd w:val="clear" w:color="auto" w:fill="ffffff"/>
    </w:pPr>
    <w:rPr>
      <w:rFonts w:ascii="Arial" w:hAnsi="Arial" w:cs="Arial"/>
      <w:b/>
      <w:bCs/>
      <w:i/>
      <w:iCs/>
      <w:sz w:val="15"/>
      <w:szCs w:val="15"/>
    </w:rPr>
  </w:style>
  <w:style w:type="paragraph" w:styleId="771" w:customStyle="1">
    <w:name w:val="Основной текст (10)"/>
    <w:basedOn w:val="713"/>
    <w:link w:val="745"/>
    <w:uiPriority w:val="99"/>
    <w:pPr>
      <w:spacing w:line="240" w:lineRule="atLeast"/>
      <w:shd w:val="clear" w:color="auto" w:fill="ffffff"/>
    </w:pPr>
    <w:rPr>
      <w:rFonts w:ascii="MS Gothic" w:hAnsi="MS Gothic" w:eastAsia="MS Gothic" w:cs="MS Gothic"/>
      <w:sz w:val="11"/>
      <w:szCs w:val="11"/>
    </w:rPr>
  </w:style>
  <w:style w:type="paragraph" w:styleId="772" w:customStyle="1">
    <w:name w:val="Основной текст (11)"/>
    <w:basedOn w:val="713"/>
    <w:link w:val="750"/>
    <w:uiPriority w:val="99"/>
    <w:pPr>
      <w:jc w:val="both"/>
      <w:spacing w:before="120" w:after="900" w:line="240" w:lineRule="atLeast"/>
      <w:shd w:val="clear" w:color="auto" w:fill="ffffff"/>
    </w:pPr>
    <w:rPr>
      <w:rFonts w:ascii="Franklin Gothic Heavy" w:hAnsi="Franklin Gothic Heavy" w:cs="Franklin Gothic Heavy"/>
      <w:sz w:val="15"/>
      <w:szCs w:val="15"/>
    </w:rPr>
  </w:style>
  <w:style w:type="paragraph" w:styleId="773" w:customStyle="1">
    <w:name w:val="Основной текст (12)1"/>
    <w:basedOn w:val="713"/>
    <w:link w:val="751"/>
    <w:uiPriority w:val="99"/>
    <w:pPr>
      <w:spacing w:before="900" w:line="240" w:lineRule="atLeast"/>
      <w:shd w:val="clear" w:color="auto" w:fill="ffffff"/>
    </w:pPr>
    <w:rPr>
      <w:rFonts w:ascii="Franklin Gothic Heavy" w:hAnsi="Franklin Gothic Heavy" w:cs="Franklin Gothic Heavy"/>
      <w:sz w:val="8"/>
      <w:szCs w:val="8"/>
      <w:lang w:val="en-US"/>
    </w:rPr>
  </w:style>
  <w:style w:type="paragraph" w:styleId="774" w:customStyle="1">
    <w:name w:val="Основной текст (13)"/>
    <w:basedOn w:val="713"/>
    <w:link w:val="754"/>
    <w:uiPriority w:val="99"/>
    <w:pPr>
      <w:jc w:val="right"/>
      <w:spacing w:before="240" w:line="240" w:lineRule="atLeast"/>
      <w:shd w:val="clear" w:color="auto" w:fill="ffffff"/>
    </w:pPr>
    <w:rPr>
      <w:rFonts w:ascii="Arial" w:hAnsi="Arial" w:cs="Arial"/>
      <w:b/>
      <w:bCs/>
      <w:sz w:val="15"/>
      <w:szCs w:val="15"/>
    </w:rPr>
  </w:style>
  <w:style w:type="paragraph" w:styleId="775" w:customStyle="1">
    <w:name w:val="Основной текст (14)"/>
    <w:basedOn w:val="713"/>
    <w:link w:val="755"/>
    <w:uiPriority w:val="99"/>
    <w:pPr>
      <w:ind w:firstLine="240"/>
      <w:jc w:val="both"/>
      <w:spacing w:line="209" w:lineRule="exact"/>
      <w:shd w:val="clear" w:color="auto" w:fill="ffffff"/>
    </w:pPr>
    <w:rPr>
      <w:rFonts w:ascii="Arial" w:hAnsi="Arial" w:cs="Arial"/>
      <w:b/>
      <w:bCs/>
      <w:i/>
      <w:iCs/>
      <w:spacing w:val="-10"/>
      <w:sz w:val="17"/>
      <w:szCs w:val="17"/>
    </w:rPr>
  </w:style>
  <w:style w:type="paragraph" w:styleId="776">
    <w:name w:val="No Spacing"/>
    <w:uiPriority w:val="1"/>
    <w:qFormat/>
    <w:pPr>
      <w:widowControl w:val="off"/>
    </w:pPr>
    <w:rPr>
      <w:color w:val="000000"/>
      <w:sz w:val="24"/>
      <w:szCs w:val="24"/>
    </w:rPr>
  </w:style>
  <w:style w:type="paragraph" w:styleId="777">
    <w:name w:val="Header"/>
    <w:basedOn w:val="713"/>
    <w:link w:val="778"/>
    <w:uiPriority w:val="99"/>
    <w:semiHidden/>
    <w:pPr>
      <w:tabs>
        <w:tab w:val="center" w:pos="4677" w:leader="none"/>
        <w:tab w:val="right" w:pos="9355" w:leader="none"/>
      </w:tabs>
    </w:pPr>
  </w:style>
  <w:style w:type="character" w:styleId="778" w:customStyle="1">
    <w:name w:val="Верхний колонтитул Знак"/>
    <w:basedOn w:val="715"/>
    <w:link w:val="777"/>
    <w:uiPriority w:val="99"/>
    <w:semiHidden/>
    <w:rPr>
      <w:rFonts w:cs="Times New Roman"/>
      <w:color w:val="000000"/>
    </w:rPr>
  </w:style>
  <w:style w:type="paragraph" w:styleId="779">
    <w:name w:val="Footer"/>
    <w:basedOn w:val="713"/>
    <w:link w:val="780"/>
    <w:uiPriority w:val="99"/>
    <w:semiHidden/>
    <w:pPr>
      <w:tabs>
        <w:tab w:val="center" w:pos="4677" w:leader="none"/>
        <w:tab w:val="right" w:pos="9355" w:leader="none"/>
      </w:tabs>
    </w:pPr>
  </w:style>
  <w:style w:type="character" w:styleId="780" w:customStyle="1">
    <w:name w:val="Нижний колонтитул Знак"/>
    <w:basedOn w:val="715"/>
    <w:link w:val="779"/>
    <w:uiPriority w:val="99"/>
    <w:semiHidden/>
    <w:rPr>
      <w:rFonts w:cs="Times New Roman"/>
      <w:color w:val="000000"/>
    </w:rPr>
  </w:style>
  <w:style w:type="paragraph" w:styleId="781">
    <w:name w:val="Body Text Indent 2"/>
    <w:basedOn w:val="713"/>
    <w:link w:val="782"/>
    <w:uiPriority w:val="99"/>
    <w:semiHidden/>
    <w:pPr>
      <w:ind w:left="283"/>
      <w:spacing w:after="120" w:line="480" w:lineRule="auto"/>
      <w:widowControl/>
    </w:pPr>
    <w:rPr>
      <w:rFonts w:ascii="Times New Roman" w:hAnsi="Times New Roman" w:eastAsia="Times New Roman" w:cs="Times New Roman"/>
      <w:color w:val="auto"/>
    </w:rPr>
  </w:style>
  <w:style w:type="character" w:styleId="782" w:customStyle="1">
    <w:name w:val="Основной текст с отступом 2 Знак"/>
    <w:basedOn w:val="715"/>
    <w:link w:val="781"/>
    <w:uiPriority w:val="99"/>
    <w:semiHidden/>
    <w:rPr>
      <w:rFonts w:ascii="Times New Roman" w:hAnsi="Times New Roman" w:cs="Times New Roman"/>
    </w:rPr>
  </w:style>
  <w:style w:type="table" w:styleId="783">
    <w:name w:val="Table Grid"/>
    <w:basedOn w:val="716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84">
    <w:name w:val="Body Text 2"/>
    <w:basedOn w:val="713"/>
    <w:link w:val="785"/>
    <w:uiPriority w:val="99"/>
    <w:semiHidden/>
    <w:pPr>
      <w:spacing w:after="120" w:line="480" w:lineRule="auto"/>
    </w:pPr>
  </w:style>
  <w:style w:type="character" w:styleId="785" w:customStyle="1">
    <w:name w:val="Основной текст 2 Знак"/>
    <w:basedOn w:val="715"/>
    <w:link w:val="784"/>
    <w:uiPriority w:val="99"/>
    <w:semiHidden/>
    <w:rPr>
      <w:rFonts w:cs="Times New Roman"/>
      <w:color w:val="000000"/>
    </w:rPr>
  </w:style>
  <w:style w:type="paragraph" w:styleId="786" w:customStyle="1">
    <w:name w:val="ConsPlusNormal"/>
    <w:uiPriority w:val="99"/>
    <w:pPr>
      <w:ind w:firstLine="720"/>
      <w:widowControl w:val="off"/>
    </w:pPr>
    <w:rPr>
      <w:rFonts w:ascii="Arial" w:hAnsi="Arial" w:eastAsia="Times New Roman" w:cs="Arial"/>
    </w:rPr>
  </w:style>
  <w:style w:type="paragraph" w:styleId="787">
    <w:name w:val="List Paragraph"/>
    <w:basedOn w:val="713"/>
    <w:link w:val="788"/>
    <w:uiPriority w:val="99"/>
    <w:qFormat/>
    <w:pPr>
      <w:contextualSpacing/>
      <w:ind w:left="720"/>
      <w:spacing w:after="160" w:line="259" w:lineRule="auto"/>
      <w:widowControl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788" w:customStyle="1">
    <w:name w:val="Абзац списка Знак"/>
    <w:link w:val="787"/>
    <w:uiPriority w:val="99"/>
    <w:rPr>
      <w:rFonts w:ascii="Calibri" w:hAnsi="Calibri" w:cs="Times New Roman"/>
      <w:sz w:val="22"/>
      <w:szCs w:val="22"/>
      <w:lang w:eastAsia="en-US"/>
    </w:rPr>
  </w:style>
  <w:style w:type="character" w:styleId="789">
    <w:name w:val="Emphasis"/>
    <w:basedOn w:val="715"/>
    <w:uiPriority w:val="20"/>
    <w:qFormat/>
    <w:rPr>
      <w:i/>
      <w:iCs/>
    </w:rPr>
  </w:style>
  <w:style w:type="paragraph" w:styleId="790">
    <w:name w:val="Balloon Text"/>
    <w:basedOn w:val="713"/>
    <w:link w:val="791"/>
    <w:uiPriority w:val="99"/>
    <w:semiHidden/>
    <w:unhideWhenUsed/>
    <w:rPr>
      <w:rFonts w:ascii="Tahoma" w:hAnsi="Tahoma" w:cs="Tahoma"/>
      <w:sz w:val="16"/>
      <w:szCs w:val="16"/>
    </w:rPr>
  </w:style>
  <w:style w:type="character" w:styleId="791" w:customStyle="1">
    <w:name w:val="Текст выноски Знак"/>
    <w:basedOn w:val="715"/>
    <w:link w:val="790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792" w:customStyle="1">
    <w:name w:val="s_1"/>
    <w:basedOn w:val="713"/>
    <w:pPr>
      <w:spacing w:before="100" w:beforeAutospacing="1" w:after="100" w:afterAutospacing="1"/>
      <w:widowControl/>
    </w:pPr>
    <w:rPr>
      <w:rFonts w:ascii="Times New Roman" w:hAnsi="Times New Roman" w:eastAsia="Times New Roman" w:cs="Times New Roman"/>
      <w:color w:val="auto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F0AC2-FB43-4BB4-8FEB-0896D0EA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odminko</dc:creator>
  <cp:keywords/>
  <dc:description/>
  <cp:lastModifiedBy>Ефимова Е Н</cp:lastModifiedBy>
  <cp:revision>160</cp:revision>
  <dcterms:created xsi:type="dcterms:W3CDTF">2014-09-15T13:03:00Z</dcterms:created>
  <dcterms:modified xsi:type="dcterms:W3CDTF">2026-07-15T07:16:44Z</dcterms:modified>
</cp:coreProperties>
</file>